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6E7117" w14:paraId="4298A10B" w14:textId="77777777">
        <w:tblPrEx>
          <w:tblCellMar>
            <w:top w:w="0" w:type="dxa"/>
            <w:bottom w:w="0" w:type="dxa"/>
          </w:tblCellMar>
        </w:tblPrEx>
        <w:trPr>
          <w:tblCellSpacing w:w="60" w:type="dxa"/>
        </w:trPr>
        <w:tc>
          <w:tcPr>
            <w:tcW w:w="1200" w:type="pct"/>
            <w:shd w:val="clear" w:color="auto" w:fill="E7F0F9"/>
          </w:tcPr>
          <w:p w14:paraId="70A49B3A" w14:textId="77777777" w:rsidR="006E7117" w:rsidRDefault="00000000">
            <w:pPr>
              <w:spacing w:after="0" w:line="240" w:lineRule="auto"/>
            </w:pPr>
            <w:r>
              <w:rPr>
                <w:b/>
              </w:rPr>
              <w:t>RKP broj</w:t>
            </w:r>
          </w:p>
        </w:tc>
        <w:tc>
          <w:tcPr>
            <w:tcW w:w="0" w:type="auto"/>
            <w:shd w:val="clear" w:color="auto" w:fill="E7F0F9"/>
          </w:tcPr>
          <w:p w14:paraId="75E3E36C" w14:textId="77777777" w:rsidR="006E7117" w:rsidRDefault="00000000">
            <w:pPr>
              <w:spacing w:after="0" w:line="240" w:lineRule="auto"/>
            </w:pPr>
            <w:r>
              <w:t>31376</w:t>
            </w:r>
          </w:p>
        </w:tc>
      </w:tr>
      <w:tr w:rsidR="006E7117" w14:paraId="544FD73A" w14:textId="77777777">
        <w:tblPrEx>
          <w:tblCellMar>
            <w:top w:w="0" w:type="dxa"/>
            <w:bottom w:w="0" w:type="dxa"/>
          </w:tblCellMar>
        </w:tblPrEx>
        <w:trPr>
          <w:tblCellSpacing w:w="60" w:type="dxa"/>
        </w:trPr>
        <w:tc>
          <w:tcPr>
            <w:tcW w:w="1200" w:type="pct"/>
            <w:shd w:val="clear" w:color="auto" w:fill="E7F0F9"/>
          </w:tcPr>
          <w:p w14:paraId="7466F1BE" w14:textId="77777777" w:rsidR="006E7117" w:rsidRDefault="00000000">
            <w:pPr>
              <w:spacing w:after="0" w:line="240" w:lineRule="auto"/>
            </w:pPr>
            <w:r>
              <w:rPr>
                <w:b/>
              </w:rPr>
              <w:t>Naziv obveznika</w:t>
            </w:r>
          </w:p>
        </w:tc>
        <w:tc>
          <w:tcPr>
            <w:tcW w:w="0" w:type="auto"/>
            <w:shd w:val="clear" w:color="auto" w:fill="E7F0F9"/>
          </w:tcPr>
          <w:p w14:paraId="2C55028E" w14:textId="77777777" w:rsidR="006E7117" w:rsidRDefault="00000000">
            <w:pPr>
              <w:spacing w:after="0" w:line="240" w:lineRule="auto"/>
            </w:pPr>
            <w:r>
              <w:t>GRADSKI MUZEJ VARAŽDIN</w:t>
            </w:r>
          </w:p>
        </w:tc>
      </w:tr>
      <w:tr w:rsidR="006E7117" w14:paraId="1D4F2160" w14:textId="77777777">
        <w:tblPrEx>
          <w:tblCellMar>
            <w:top w:w="0" w:type="dxa"/>
            <w:bottom w:w="0" w:type="dxa"/>
          </w:tblCellMar>
        </w:tblPrEx>
        <w:trPr>
          <w:tblCellSpacing w:w="60" w:type="dxa"/>
        </w:trPr>
        <w:tc>
          <w:tcPr>
            <w:tcW w:w="1200" w:type="pct"/>
            <w:shd w:val="clear" w:color="auto" w:fill="E7F0F9"/>
          </w:tcPr>
          <w:p w14:paraId="1600BD84" w14:textId="77777777" w:rsidR="006E7117" w:rsidRDefault="00000000">
            <w:pPr>
              <w:spacing w:after="0" w:line="240" w:lineRule="auto"/>
            </w:pPr>
            <w:r>
              <w:rPr>
                <w:b/>
              </w:rPr>
              <w:t>Razina</w:t>
            </w:r>
          </w:p>
        </w:tc>
        <w:tc>
          <w:tcPr>
            <w:tcW w:w="0" w:type="auto"/>
            <w:shd w:val="clear" w:color="auto" w:fill="E7F0F9"/>
          </w:tcPr>
          <w:p w14:paraId="35732494" w14:textId="77777777" w:rsidR="006E7117" w:rsidRDefault="00000000">
            <w:pPr>
              <w:spacing w:after="0" w:line="240" w:lineRule="auto"/>
            </w:pPr>
            <w:r>
              <w:t>21</w:t>
            </w:r>
          </w:p>
        </w:tc>
      </w:tr>
    </w:tbl>
    <w:p w14:paraId="7FC03105" w14:textId="77777777" w:rsidR="006E7117" w:rsidRDefault="00000000">
      <w:r>
        <w:br/>
      </w:r>
    </w:p>
    <w:p w14:paraId="0B258228" w14:textId="77777777" w:rsidR="006E7117" w:rsidRDefault="00000000">
      <w:pPr>
        <w:spacing w:line="240" w:lineRule="auto"/>
        <w:jc w:val="center"/>
      </w:pPr>
      <w:r>
        <w:rPr>
          <w:b/>
          <w:sz w:val="28"/>
        </w:rPr>
        <w:t>BILJEŠKE UZ FINANCIJSKE IZVJEŠTAJE</w:t>
      </w:r>
    </w:p>
    <w:p w14:paraId="38FEFD64" w14:textId="77777777" w:rsidR="006E7117" w:rsidRDefault="00000000">
      <w:pPr>
        <w:spacing w:line="240" w:lineRule="auto"/>
        <w:jc w:val="center"/>
      </w:pPr>
      <w:r>
        <w:rPr>
          <w:b/>
          <w:sz w:val="28"/>
        </w:rPr>
        <w:t>ZA RAZDOBLJE</w:t>
      </w:r>
    </w:p>
    <w:p w14:paraId="294BBC66" w14:textId="77777777" w:rsidR="006E7117" w:rsidRDefault="00000000">
      <w:pPr>
        <w:spacing w:line="240" w:lineRule="auto"/>
        <w:jc w:val="center"/>
      </w:pPr>
      <w:r>
        <w:rPr>
          <w:b/>
          <w:sz w:val="28"/>
        </w:rPr>
        <w:t>I - VI 2025.</w:t>
      </w:r>
    </w:p>
    <w:p w14:paraId="59874B14" w14:textId="77777777" w:rsidR="006E7117" w:rsidRDefault="006E7117"/>
    <w:p w14:paraId="365816AF" w14:textId="77777777" w:rsidR="006E7117" w:rsidRDefault="00000000">
      <w:pPr>
        <w:keepNext/>
        <w:spacing w:line="240" w:lineRule="auto"/>
        <w:jc w:val="center"/>
      </w:pPr>
      <w:r>
        <w:rPr>
          <w:b/>
          <w:sz w:val="28"/>
        </w:rPr>
        <w:t>Izvještaj o prihodima i rashodima, primicima i izdacima</w:t>
      </w:r>
    </w:p>
    <w:p w14:paraId="6C6AF7EF" w14:textId="77777777" w:rsidR="006E7117"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58132D2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EB68D26"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C51D86D"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AE89D7A"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8EDF690"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C18B05A"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A3255D2" w14:textId="77777777" w:rsidR="006E7117" w:rsidRDefault="00000000">
            <w:pPr>
              <w:keepNext/>
              <w:keepLines/>
              <w:spacing w:after="0" w:line="240" w:lineRule="auto"/>
              <w:jc w:val="center"/>
            </w:pPr>
            <w:r>
              <w:rPr>
                <w:b/>
                <w:sz w:val="18"/>
              </w:rPr>
              <w:t>Indeks (%)</w:t>
            </w:r>
          </w:p>
        </w:tc>
      </w:tr>
      <w:tr w:rsidR="006E7117" w14:paraId="6ED1ABE9" w14:textId="77777777">
        <w:tblPrEx>
          <w:tblCellMar>
            <w:top w:w="0" w:type="dxa"/>
            <w:bottom w:w="0" w:type="dxa"/>
          </w:tblCellMar>
        </w:tblPrEx>
        <w:trPr>
          <w:cantSplit/>
          <w:trHeight w:val="560"/>
        </w:trPr>
        <w:tc>
          <w:tcPr>
            <w:tcW w:w="700" w:type="dxa"/>
            <w:tcMar>
              <w:top w:w="0" w:type="dxa"/>
              <w:bottom w:w="0" w:type="dxa"/>
            </w:tcMar>
            <w:vAlign w:val="center"/>
          </w:tcPr>
          <w:p w14:paraId="72B75501" w14:textId="77777777" w:rsidR="006E7117" w:rsidRDefault="00000000">
            <w:pPr>
              <w:keepNext/>
              <w:keepLines/>
              <w:spacing w:after="0" w:line="240" w:lineRule="auto"/>
            </w:pPr>
            <w:r>
              <w:rPr>
                <w:sz w:val="18"/>
              </w:rPr>
              <w:t>6</w:t>
            </w:r>
          </w:p>
        </w:tc>
        <w:tc>
          <w:tcPr>
            <w:tcW w:w="3180" w:type="dxa"/>
            <w:tcMar>
              <w:top w:w="0" w:type="dxa"/>
              <w:bottom w:w="0" w:type="dxa"/>
            </w:tcMar>
            <w:vAlign w:val="center"/>
          </w:tcPr>
          <w:p w14:paraId="7E44F787" w14:textId="77777777" w:rsidR="006E7117"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36D8F319" w14:textId="77777777" w:rsidR="006E7117" w:rsidRDefault="00000000">
            <w:pPr>
              <w:keepNext/>
              <w:keepLines/>
              <w:spacing w:after="0" w:line="240" w:lineRule="auto"/>
            </w:pPr>
            <w:r>
              <w:rPr>
                <w:sz w:val="18"/>
              </w:rPr>
              <w:t>6</w:t>
            </w:r>
          </w:p>
        </w:tc>
        <w:tc>
          <w:tcPr>
            <w:tcW w:w="1860" w:type="dxa"/>
            <w:tcMar>
              <w:top w:w="0" w:type="dxa"/>
              <w:bottom w:w="0" w:type="dxa"/>
            </w:tcMar>
            <w:vAlign w:val="center"/>
          </w:tcPr>
          <w:p w14:paraId="3BF2E611" w14:textId="77777777" w:rsidR="006E7117" w:rsidRDefault="00000000">
            <w:pPr>
              <w:keepNext/>
              <w:keepLines/>
              <w:spacing w:after="0" w:line="240" w:lineRule="auto"/>
              <w:jc w:val="right"/>
            </w:pPr>
            <w:r>
              <w:rPr>
                <w:sz w:val="18"/>
              </w:rPr>
              <w:t>690.779,66</w:t>
            </w:r>
          </w:p>
        </w:tc>
        <w:tc>
          <w:tcPr>
            <w:tcW w:w="1860" w:type="dxa"/>
            <w:tcMar>
              <w:top w:w="0" w:type="dxa"/>
              <w:bottom w:w="0" w:type="dxa"/>
            </w:tcMar>
            <w:vAlign w:val="center"/>
          </w:tcPr>
          <w:p w14:paraId="7070E7CD" w14:textId="77777777" w:rsidR="006E7117" w:rsidRDefault="00000000">
            <w:pPr>
              <w:keepNext/>
              <w:keepLines/>
              <w:spacing w:after="0" w:line="240" w:lineRule="auto"/>
              <w:jc w:val="right"/>
            </w:pPr>
            <w:r>
              <w:rPr>
                <w:sz w:val="18"/>
              </w:rPr>
              <w:t>855.560,27</w:t>
            </w:r>
          </w:p>
        </w:tc>
        <w:tc>
          <w:tcPr>
            <w:tcW w:w="700" w:type="dxa"/>
            <w:tcMar>
              <w:top w:w="0" w:type="dxa"/>
              <w:bottom w:w="0" w:type="dxa"/>
            </w:tcMar>
            <w:vAlign w:val="center"/>
          </w:tcPr>
          <w:p w14:paraId="36798435" w14:textId="77777777" w:rsidR="006E7117" w:rsidRDefault="00000000">
            <w:pPr>
              <w:keepNext/>
              <w:keepLines/>
              <w:spacing w:after="0" w:line="240" w:lineRule="auto"/>
              <w:jc w:val="right"/>
            </w:pPr>
            <w:r>
              <w:rPr>
                <w:sz w:val="18"/>
              </w:rPr>
              <w:t>123,9</w:t>
            </w:r>
          </w:p>
        </w:tc>
      </w:tr>
      <w:tr w:rsidR="006E7117" w14:paraId="1A2A0373" w14:textId="77777777">
        <w:tblPrEx>
          <w:tblCellMar>
            <w:top w:w="0" w:type="dxa"/>
            <w:bottom w:w="0" w:type="dxa"/>
          </w:tblCellMar>
        </w:tblPrEx>
        <w:trPr>
          <w:cantSplit/>
          <w:trHeight w:val="560"/>
        </w:trPr>
        <w:tc>
          <w:tcPr>
            <w:tcW w:w="700" w:type="dxa"/>
            <w:tcMar>
              <w:top w:w="0" w:type="dxa"/>
              <w:bottom w:w="0" w:type="dxa"/>
            </w:tcMar>
            <w:vAlign w:val="center"/>
          </w:tcPr>
          <w:p w14:paraId="7CBCEE7F" w14:textId="77777777" w:rsidR="006E7117" w:rsidRDefault="00000000">
            <w:pPr>
              <w:keepNext/>
              <w:keepLines/>
              <w:spacing w:after="0" w:line="240" w:lineRule="auto"/>
            </w:pPr>
            <w:r>
              <w:rPr>
                <w:sz w:val="18"/>
              </w:rPr>
              <w:t>3</w:t>
            </w:r>
          </w:p>
        </w:tc>
        <w:tc>
          <w:tcPr>
            <w:tcW w:w="3180" w:type="dxa"/>
            <w:tcMar>
              <w:top w:w="0" w:type="dxa"/>
              <w:bottom w:w="0" w:type="dxa"/>
            </w:tcMar>
            <w:vAlign w:val="center"/>
          </w:tcPr>
          <w:p w14:paraId="77166ADB" w14:textId="77777777" w:rsidR="006E7117"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320E42FA" w14:textId="77777777" w:rsidR="006E7117" w:rsidRDefault="00000000">
            <w:pPr>
              <w:keepNext/>
              <w:keepLines/>
              <w:spacing w:after="0" w:line="240" w:lineRule="auto"/>
            </w:pPr>
            <w:r>
              <w:rPr>
                <w:sz w:val="18"/>
              </w:rPr>
              <w:t>3</w:t>
            </w:r>
          </w:p>
        </w:tc>
        <w:tc>
          <w:tcPr>
            <w:tcW w:w="1860" w:type="dxa"/>
            <w:tcMar>
              <w:top w:w="0" w:type="dxa"/>
              <w:bottom w:w="0" w:type="dxa"/>
            </w:tcMar>
            <w:vAlign w:val="center"/>
          </w:tcPr>
          <w:p w14:paraId="682C4E8E" w14:textId="77777777" w:rsidR="006E7117" w:rsidRDefault="00000000">
            <w:pPr>
              <w:keepNext/>
              <w:keepLines/>
              <w:spacing w:after="0" w:line="240" w:lineRule="auto"/>
              <w:jc w:val="right"/>
            </w:pPr>
            <w:r>
              <w:rPr>
                <w:sz w:val="18"/>
              </w:rPr>
              <w:t>564.580,24</w:t>
            </w:r>
          </w:p>
        </w:tc>
        <w:tc>
          <w:tcPr>
            <w:tcW w:w="1860" w:type="dxa"/>
            <w:tcMar>
              <w:top w:w="0" w:type="dxa"/>
              <w:bottom w:w="0" w:type="dxa"/>
            </w:tcMar>
            <w:vAlign w:val="center"/>
          </w:tcPr>
          <w:p w14:paraId="06CE8058" w14:textId="77777777" w:rsidR="006E7117" w:rsidRDefault="00000000">
            <w:pPr>
              <w:keepNext/>
              <w:keepLines/>
              <w:spacing w:after="0" w:line="240" w:lineRule="auto"/>
              <w:jc w:val="right"/>
            </w:pPr>
            <w:r>
              <w:rPr>
                <w:sz w:val="18"/>
              </w:rPr>
              <w:t>770.532,49</w:t>
            </w:r>
          </w:p>
        </w:tc>
        <w:tc>
          <w:tcPr>
            <w:tcW w:w="700" w:type="dxa"/>
            <w:tcMar>
              <w:top w:w="0" w:type="dxa"/>
              <w:bottom w:w="0" w:type="dxa"/>
            </w:tcMar>
            <w:vAlign w:val="center"/>
          </w:tcPr>
          <w:p w14:paraId="3B1E72E1" w14:textId="77777777" w:rsidR="006E7117" w:rsidRDefault="00000000">
            <w:pPr>
              <w:keepNext/>
              <w:keepLines/>
              <w:spacing w:after="0" w:line="240" w:lineRule="auto"/>
              <w:jc w:val="right"/>
            </w:pPr>
            <w:r>
              <w:rPr>
                <w:sz w:val="18"/>
              </w:rPr>
              <w:t>136,5</w:t>
            </w:r>
          </w:p>
        </w:tc>
      </w:tr>
      <w:tr w:rsidR="006E7117" w14:paraId="3B726979" w14:textId="77777777">
        <w:tblPrEx>
          <w:tblCellMar>
            <w:top w:w="0" w:type="dxa"/>
            <w:bottom w:w="0" w:type="dxa"/>
          </w:tblCellMar>
        </w:tblPrEx>
        <w:trPr>
          <w:cantSplit/>
          <w:trHeight w:val="560"/>
        </w:trPr>
        <w:tc>
          <w:tcPr>
            <w:tcW w:w="700" w:type="dxa"/>
            <w:tcMar>
              <w:top w:w="0" w:type="dxa"/>
              <w:bottom w:w="0" w:type="dxa"/>
            </w:tcMar>
            <w:vAlign w:val="center"/>
          </w:tcPr>
          <w:p w14:paraId="58D300DB" w14:textId="77777777" w:rsidR="006E7117" w:rsidRDefault="006E7117">
            <w:pPr>
              <w:keepNext/>
              <w:keepLines/>
              <w:spacing w:after="0" w:line="240" w:lineRule="auto"/>
            </w:pPr>
          </w:p>
        </w:tc>
        <w:tc>
          <w:tcPr>
            <w:tcW w:w="3180" w:type="dxa"/>
            <w:tcMar>
              <w:top w:w="0" w:type="dxa"/>
              <w:bottom w:w="0" w:type="dxa"/>
            </w:tcMar>
            <w:vAlign w:val="center"/>
          </w:tcPr>
          <w:p w14:paraId="31D4C699" w14:textId="77777777" w:rsidR="006E7117"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4AD3AAC8" w14:textId="77777777" w:rsidR="006E7117" w:rsidRDefault="00000000">
            <w:pPr>
              <w:keepNext/>
              <w:keepLines/>
              <w:spacing w:after="0" w:line="240" w:lineRule="auto"/>
            </w:pPr>
            <w:r>
              <w:rPr>
                <w:b/>
                <w:sz w:val="18"/>
              </w:rPr>
              <w:t>X001</w:t>
            </w:r>
          </w:p>
        </w:tc>
        <w:tc>
          <w:tcPr>
            <w:tcW w:w="1860" w:type="dxa"/>
            <w:tcMar>
              <w:top w:w="0" w:type="dxa"/>
              <w:bottom w:w="0" w:type="dxa"/>
            </w:tcMar>
            <w:vAlign w:val="center"/>
          </w:tcPr>
          <w:p w14:paraId="354B9445" w14:textId="77777777" w:rsidR="006E7117" w:rsidRDefault="00000000">
            <w:pPr>
              <w:keepNext/>
              <w:keepLines/>
              <w:spacing w:after="0" w:line="240" w:lineRule="auto"/>
              <w:jc w:val="right"/>
            </w:pPr>
            <w:r>
              <w:rPr>
                <w:b/>
                <w:sz w:val="18"/>
              </w:rPr>
              <w:t>126.199,42</w:t>
            </w:r>
          </w:p>
        </w:tc>
        <w:tc>
          <w:tcPr>
            <w:tcW w:w="1860" w:type="dxa"/>
            <w:tcMar>
              <w:top w:w="0" w:type="dxa"/>
              <w:bottom w:w="0" w:type="dxa"/>
            </w:tcMar>
            <w:vAlign w:val="center"/>
          </w:tcPr>
          <w:p w14:paraId="2F83FE33" w14:textId="77777777" w:rsidR="006E7117" w:rsidRDefault="00000000">
            <w:pPr>
              <w:keepNext/>
              <w:keepLines/>
              <w:spacing w:after="0" w:line="240" w:lineRule="auto"/>
              <w:jc w:val="right"/>
            </w:pPr>
            <w:r>
              <w:rPr>
                <w:b/>
                <w:sz w:val="18"/>
              </w:rPr>
              <w:t>85.027,78</w:t>
            </w:r>
          </w:p>
        </w:tc>
        <w:tc>
          <w:tcPr>
            <w:tcW w:w="700" w:type="dxa"/>
            <w:tcMar>
              <w:top w:w="0" w:type="dxa"/>
              <w:bottom w:w="0" w:type="dxa"/>
            </w:tcMar>
            <w:vAlign w:val="center"/>
          </w:tcPr>
          <w:p w14:paraId="75BBA9EA" w14:textId="77777777" w:rsidR="006E7117" w:rsidRDefault="00000000">
            <w:pPr>
              <w:keepNext/>
              <w:keepLines/>
              <w:spacing w:after="0" w:line="240" w:lineRule="auto"/>
              <w:jc w:val="right"/>
            </w:pPr>
            <w:r>
              <w:rPr>
                <w:b/>
                <w:sz w:val="18"/>
              </w:rPr>
              <w:t>67,4</w:t>
            </w:r>
          </w:p>
        </w:tc>
      </w:tr>
      <w:tr w:rsidR="006E7117" w14:paraId="707A750F" w14:textId="77777777">
        <w:tblPrEx>
          <w:tblCellMar>
            <w:top w:w="0" w:type="dxa"/>
            <w:bottom w:w="0" w:type="dxa"/>
          </w:tblCellMar>
        </w:tblPrEx>
        <w:trPr>
          <w:cantSplit/>
          <w:trHeight w:val="560"/>
        </w:trPr>
        <w:tc>
          <w:tcPr>
            <w:tcW w:w="700" w:type="dxa"/>
            <w:tcMar>
              <w:top w:w="0" w:type="dxa"/>
              <w:bottom w:w="0" w:type="dxa"/>
            </w:tcMar>
            <w:vAlign w:val="center"/>
          </w:tcPr>
          <w:p w14:paraId="2F451D5A" w14:textId="77777777" w:rsidR="006E7117" w:rsidRDefault="00000000">
            <w:pPr>
              <w:keepNext/>
              <w:keepLines/>
              <w:spacing w:after="0" w:line="240" w:lineRule="auto"/>
            </w:pPr>
            <w:r>
              <w:rPr>
                <w:sz w:val="18"/>
              </w:rPr>
              <w:t>7</w:t>
            </w:r>
          </w:p>
        </w:tc>
        <w:tc>
          <w:tcPr>
            <w:tcW w:w="3180" w:type="dxa"/>
            <w:tcMar>
              <w:top w:w="0" w:type="dxa"/>
              <w:bottom w:w="0" w:type="dxa"/>
            </w:tcMar>
            <w:vAlign w:val="center"/>
          </w:tcPr>
          <w:p w14:paraId="0983C9BC" w14:textId="77777777" w:rsidR="006E7117"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1FDEE214" w14:textId="77777777" w:rsidR="006E7117" w:rsidRDefault="00000000">
            <w:pPr>
              <w:keepNext/>
              <w:keepLines/>
              <w:spacing w:after="0" w:line="240" w:lineRule="auto"/>
            </w:pPr>
            <w:r>
              <w:rPr>
                <w:sz w:val="18"/>
              </w:rPr>
              <w:t>7</w:t>
            </w:r>
          </w:p>
        </w:tc>
        <w:tc>
          <w:tcPr>
            <w:tcW w:w="1860" w:type="dxa"/>
            <w:tcMar>
              <w:top w:w="0" w:type="dxa"/>
              <w:bottom w:w="0" w:type="dxa"/>
            </w:tcMar>
            <w:vAlign w:val="center"/>
          </w:tcPr>
          <w:p w14:paraId="4493D642" w14:textId="77777777" w:rsidR="006E7117" w:rsidRDefault="00000000">
            <w:pPr>
              <w:keepNext/>
              <w:keepLines/>
              <w:spacing w:after="0" w:line="240" w:lineRule="auto"/>
              <w:jc w:val="right"/>
            </w:pPr>
            <w:r>
              <w:rPr>
                <w:sz w:val="18"/>
              </w:rPr>
              <w:t>0,00</w:t>
            </w:r>
          </w:p>
        </w:tc>
        <w:tc>
          <w:tcPr>
            <w:tcW w:w="1860" w:type="dxa"/>
            <w:tcMar>
              <w:top w:w="0" w:type="dxa"/>
              <w:bottom w:w="0" w:type="dxa"/>
            </w:tcMar>
            <w:vAlign w:val="center"/>
          </w:tcPr>
          <w:p w14:paraId="768F7645" w14:textId="77777777" w:rsidR="006E7117" w:rsidRDefault="00000000">
            <w:pPr>
              <w:keepNext/>
              <w:keepLines/>
              <w:spacing w:after="0" w:line="240" w:lineRule="auto"/>
              <w:jc w:val="right"/>
            </w:pPr>
            <w:r>
              <w:rPr>
                <w:sz w:val="18"/>
              </w:rPr>
              <w:t>0,00</w:t>
            </w:r>
          </w:p>
        </w:tc>
        <w:tc>
          <w:tcPr>
            <w:tcW w:w="700" w:type="dxa"/>
            <w:tcMar>
              <w:top w:w="0" w:type="dxa"/>
              <w:bottom w:w="0" w:type="dxa"/>
            </w:tcMar>
            <w:vAlign w:val="center"/>
          </w:tcPr>
          <w:p w14:paraId="78B91C2A" w14:textId="77777777" w:rsidR="006E7117" w:rsidRDefault="00000000">
            <w:pPr>
              <w:keepNext/>
              <w:keepLines/>
              <w:spacing w:after="0" w:line="240" w:lineRule="auto"/>
              <w:jc w:val="right"/>
            </w:pPr>
            <w:r>
              <w:rPr>
                <w:sz w:val="18"/>
              </w:rPr>
              <w:t>-</w:t>
            </w:r>
          </w:p>
        </w:tc>
      </w:tr>
      <w:tr w:rsidR="006E7117" w14:paraId="615EC99B" w14:textId="77777777">
        <w:tblPrEx>
          <w:tblCellMar>
            <w:top w:w="0" w:type="dxa"/>
            <w:bottom w:w="0" w:type="dxa"/>
          </w:tblCellMar>
        </w:tblPrEx>
        <w:trPr>
          <w:cantSplit/>
          <w:trHeight w:val="560"/>
        </w:trPr>
        <w:tc>
          <w:tcPr>
            <w:tcW w:w="700" w:type="dxa"/>
            <w:tcMar>
              <w:top w:w="0" w:type="dxa"/>
              <w:bottom w:w="0" w:type="dxa"/>
            </w:tcMar>
            <w:vAlign w:val="center"/>
          </w:tcPr>
          <w:p w14:paraId="24E9BFC1" w14:textId="77777777" w:rsidR="006E7117" w:rsidRDefault="00000000">
            <w:pPr>
              <w:keepNext/>
              <w:keepLines/>
              <w:spacing w:after="0" w:line="240" w:lineRule="auto"/>
            </w:pPr>
            <w:r>
              <w:rPr>
                <w:sz w:val="18"/>
              </w:rPr>
              <w:t>4</w:t>
            </w:r>
          </w:p>
        </w:tc>
        <w:tc>
          <w:tcPr>
            <w:tcW w:w="3180" w:type="dxa"/>
            <w:tcMar>
              <w:top w:w="0" w:type="dxa"/>
              <w:bottom w:w="0" w:type="dxa"/>
            </w:tcMar>
            <w:vAlign w:val="center"/>
          </w:tcPr>
          <w:p w14:paraId="366E19F8" w14:textId="77777777" w:rsidR="006E7117"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38E7042E" w14:textId="77777777" w:rsidR="006E7117" w:rsidRDefault="00000000">
            <w:pPr>
              <w:keepNext/>
              <w:keepLines/>
              <w:spacing w:after="0" w:line="240" w:lineRule="auto"/>
            </w:pPr>
            <w:r>
              <w:rPr>
                <w:sz w:val="18"/>
              </w:rPr>
              <w:t>4</w:t>
            </w:r>
          </w:p>
        </w:tc>
        <w:tc>
          <w:tcPr>
            <w:tcW w:w="1860" w:type="dxa"/>
            <w:tcMar>
              <w:top w:w="0" w:type="dxa"/>
              <w:bottom w:w="0" w:type="dxa"/>
            </w:tcMar>
            <w:vAlign w:val="center"/>
          </w:tcPr>
          <w:p w14:paraId="11981E53" w14:textId="77777777" w:rsidR="006E7117" w:rsidRDefault="00000000">
            <w:pPr>
              <w:keepNext/>
              <w:keepLines/>
              <w:spacing w:after="0" w:line="240" w:lineRule="auto"/>
              <w:jc w:val="right"/>
            </w:pPr>
            <w:r>
              <w:rPr>
                <w:sz w:val="18"/>
              </w:rPr>
              <w:t>36.574,52</w:t>
            </w:r>
          </w:p>
        </w:tc>
        <w:tc>
          <w:tcPr>
            <w:tcW w:w="1860" w:type="dxa"/>
            <w:tcMar>
              <w:top w:w="0" w:type="dxa"/>
              <w:bottom w:w="0" w:type="dxa"/>
            </w:tcMar>
            <w:vAlign w:val="center"/>
          </w:tcPr>
          <w:p w14:paraId="13CFFFD1" w14:textId="77777777" w:rsidR="006E7117" w:rsidRDefault="00000000">
            <w:pPr>
              <w:keepNext/>
              <w:keepLines/>
              <w:spacing w:after="0" w:line="240" w:lineRule="auto"/>
              <w:jc w:val="right"/>
            </w:pPr>
            <w:r>
              <w:rPr>
                <w:sz w:val="18"/>
              </w:rPr>
              <w:t>242.453,68</w:t>
            </w:r>
          </w:p>
        </w:tc>
        <w:tc>
          <w:tcPr>
            <w:tcW w:w="700" w:type="dxa"/>
            <w:tcMar>
              <w:top w:w="0" w:type="dxa"/>
              <w:bottom w:w="0" w:type="dxa"/>
            </w:tcMar>
            <w:vAlign w:val="center"/>
          </w:tcPr>
          <w:p w14:paraId="2D95A81A" w14:textId="77777777" w:rsidR="006E7117" w:rsidRDefault="00000000">
            <w:pPr>
              <w:keepNext/>
              <w:keepLines/>
              <w:spacing w:after="0" w:line="240" w:lineRule="auto"/>
              <w:jc w:val="right"/>
            </w:pPr>
            <w:r>
              <w:rPr>
                <w:sz w:val="18"/>
              </w:rPr>
              <w:t>662,9</w:t>
            </w:r>
          </w:p>
        </w:tc>
      </w:tr>
      <w:tr w:rsidR="006E7117" w14:paraId="029EDDE3" w14:textId="77777777">
        <w:tblPrEx>
          <w:tblCellMar>
            <w:top w:w="0" w:type="dxa"/>
            <w:bottom w:w="0" w:type="dxa"/>
          </w:tblCellMar>
        </w:tblPrEx>
        <w:trPr>
          <w:cantSplit/>
          <w:trHeight w:val="560"/>
        </w:trPr>
        <w:tc>
          <w:tcPr>
            <w:tcW w:w="700" w:type="dxa"/>
            <w:tcMar>
              <w:top w:w="0" w:type="dxa"/>
              <w:bottom w:w="0" w:type="dxa"/>
            </w:tcMar>
            <w:vAlign w:val="center"/>
          </w:tcPr>
          <w:p w14:paraId="0C692930" w14:textId="77777777" w:rsidR="006E7117" w:rsidRDefault="006E7117">
            <w:pPr>
              <w:keepNext/>
              <w:keepLines/>
              <w:spacing w:after="0" w:line="240" w:lineRule="auto"/>
            </w:pPr>
          </w:p>
        </w:tc>
        <w:tc>
          <w:tcPr>
            <w:tcW w:w="3180" w:type="dxa"/>
            <w:tcMar>
              <w:top w:w="0" w:type="dxa"/>
              <w:bottom w:w="0" w:type="dxa"/>
            </w:tcMar>
            <w:vAlign w:val="center"/>
          </w:tcPr>
          <w:p w14:paraId="395DBCCD" w14:textId="77777777" w:rsidR="006E7117"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5C20DE4F" w14:textId="77777777" w:rsidR="006E7117" w:rsidRDefault="00000000">
            <w:pPr>
              <w:keepNext/>
              <w:keepLines/>
              <w:spacing w:after="0" w:line="240" w:lineRule="auto"/>
            </w:pPr>
            <w:r>
              <w:rPr>
                <w:b/>
                <w:sz w:val="18"/>
              </w:rPr>
              <w:t>Y002</w:t>
            </w:r>
          </w:p>
        </w:tc>
        <w:tc>
          <w:tcPr>
            <w:tcW w:w="1860" w:type="dxa"/>
            <w:tcMar>
              <w:top w:w="0" w:type="dxa"/>
              <w:bottom w:w="0" w:type="dxa"/>
            </w:tcMar>
            <w:vAlign w:val="center"/>
          </w:tcPr>
          <w:p w14:paraId="73FD74BB" w14:textId="77777777" w:rsidR="006E7117" w:rsidRDefault="00000000">
            <w:pPr>
              <w:keepNext/>
              <w:keepLines/>
              <w:spacing w:after="0" w:line="240" w:lineRule="auto"/>
              <w:jc w:val="right"/>
            </w:pPr>
            <w:r>
              <w:rPr>
                <w:b/>
                <w:sz w:val="18"/>
              </w:rPr>
              <w:t>36.574,52</w:t>
            </w:r>
          </w:p>
        </w:tc>
        <w:tc>
          <w:tcPr>
            <w:tcW w:w="1860" w:type="dxa"/>
            <w:tcMar>
              <w:top w:w="0" w:type="dxa"/>
              <w:bottom w:w="0" w:type="dxa"/>
            </w:tcMar>
            <w:vAlign w:val="center"/>
          </w:tcPr>
          <w:p w14:paraId="5D7429AF" w14:textId="77777777" w:rsidR="006E7117" w:rsidRDefault="00000000">
            <w:pPr>
              <w:keepNext/>
              <w:keepLines/>
              <w:spacing w:after="0" w:line="240" w:lineRule="auto"/>
              <w:jc w:val="right"/>
            </w:pPr>
            <w:r>
              <w:rPr>
                <w:b/>
                <w:sz w:val="18"/>
              </w:rPr>
              <w:t>242.453,68</w:t>
            </w:r>
          </w:p>
        </w:tc>
        <w:tc>
          <w:tcPr>
            <w:tcW w:w="700" w:type="dxa"/>
            <w:tcMar>
              <w:top w:w="0" w:type="dxa"/>
              <w:bottom w:w="0" w:type="dxa"/>
            </w:tcMar>
            <w:vAlign w:val="center"/>
          </w:tcPr>
          <w:p w14:paraId="4C70133D" w14:textId="77777777" w:rsidR="006E7117" w:rsidRDefault="00000000">
            <w:pPr>
              <w:keepNext/>
              <w:keepLines/>
              <w:spacing w:after="0" w:line="240" w:lineRule="auto"/>
              <w:jc w:val="right"/>
            </w:pPr>
            <w:r>
              <w:rPr>
                <w:b/>
                <w:sz w:val="18"/>
              </w:rPr>
              <w:t>662,9</w:t>
            </w:r>
          </w:p>
        </w:tc>
      </w:tr>
      <w:tr w:rsidR="006E7117" w14:paraId="31B510FF" w14:textId="77777777">
        <w:tblPrEx>
          <w:tblCellMar>
            <w:top w:w="0" w:type="dxa"/>
            <w:bottom w:w="0" w:type="dxa"/>
          </w:tblCellMar>
        </w:tblPrEx>
        <w:trPr>
          <w:cantSplit/>
          <w:trHeight w:val="560"/>
        </w:trPr>
        <w:tc>
          <w:tcPr>
            <w:tcW w:w="700" w:type="dxa"/>
            <w:tcMar>
              <w:top w:w="0" w:type="dxa"/>
              <w:bottom w:w="0" w:type="dxa"/>
            </w:tcMar>
            <w:vAlign w:val="center"/>
          </w:tcPr>
          <w:p w14:paraId="23B2EEF6" w14:textId="77777777" w:rsidR="006E7117" w:rsidRDefault="00000000">
            <w:pPr>
              <w:keepNext/>
              <w:keepLines/>
              <w:spacing w:after="0" w:line="240" w:lineRule="auto"/>
            </w:pPr>
            <w:r>
              <w:rPr>
                <w:sz w:val="18"/>
              </w:rPr>
              <w:t>8</w:t>
            </w:r>
          </w:p>
        </w:tc>
        <w:tc>
          <w:tcPr>
            <w:tcW w:w="3180" w:type="dxa"/>
            <w:tcMar>
              <w:top w:w="0" w:type="dxa"/>
              <w:bottom w:w="0" w:type="dxa"/>
            </w:tcMar>
            <w:vAlign w:val="center"/>
          </w:tcPr>
          <w:p w14:paraId="22860E44" w14:textId="77777777" w:rsidR="006E7117"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0BDE0858" w14:textId="77777777" w:rsidR="006E7117" w:rsidRDefault="00000000">
            <w:pPr>
              <w:keepNext/>
              <w:keepLines/>
              <w:spacing w:after="0" w:line="240" w:lineRule="auto"/>
            </w:pPr>
            <w:r>
              <w:rPr>
                <w:sz w:val="18"/>
              </w:rPr>
              <w:t>8</w:t>
            </w:r>
          </w:p>
        </w:tc>
        <w:tc>
          <w:tcPr>
            <w:tcW w:w="1860" w:type="dxa"/>
            <w:tcMar>
              <w:top w:w="0" w:type="dxa"/>
              <w:bottom w:w="0" w:type="dxa"/>
            </w:tcMar>
            <w:vAlign w:val="center"/>
          </w:tcPr>
          <w:p w14:paraId="5FF2CFF0" w14:textId="77777777" w:rsidR="006E7117" w:rsidRDefault="00000000">
            <w:pPr>
              <w:keepNext/>
              <w:keepLines/>
              <w:spacing w:after="0" w:line="240" w:lineRule="auto"/>
              <w:jc w:val="right"/>
            </w:pPr>
            <w:r>
              <w:rPr>
                <w:sz w:val="18"/>
              </w:rPr>
              <w:t>0,00</w:t>
            </w:r>
          </w:p>
        </w:tc>
        <w:tc>
          <w:tcPr>
            <w:tcW w:w="1860" w:type="dxa"/>
            <w:tcMar>
              <w:top w:w="0" w:type="dxa"/>
              <w:bottom w:w="0" w:type="dxa"/>
            </w:tcMar>
            <w:vAlign w:val="center"/>
          </w:tcPr>
          <w:p w14:paraId="01201E55" w14:textId="77777777" w:rsidR="006E7117" w:rsidRDefault="00000000">
            <w:pPr>
              <w:keepNext/>
              <w:keepLines/>
              <w:spacing w:after="0" w:line="240" w:lineRule="auto"/>
              <w:jc w:val="right"/>
            </w:pPr>
            <w:r>
              <w:rPr>
                <w:sz w:val="18"/>
              </w:rPr>
              <w:t>0,00</w:t>
            </w:r>
          </w:p>
        </w:tc>
        <w:tc>
          <w:tcPr>
            <w:tcW w:w="700" w:type="dxa"/>
            <w:tcMar>
              <w:top w:w="0" w:type="dxa"/>
              <w:bottom w:w="0" w:type="dxa"/>
            </w:tcMar>
            <w:vAlign w:val="center"/>
          </w:tcPr>
          <w:p w14:paraId="483844D2" w14:textId="77777777" w:rsidR="006E7117" w:rsidRDefault="00000000">
            <w:pPr>
              <w:keepNext/>
              <w:keepLines/>
              <w:spacing w:after="0" w:line="240" w:lineRule="auto"/>
              <w:jc w:val="right"/>
            </w:pPr>
            <w:r>
              <w:rPr>
                <w:sz w:val="18"/>
              </w:rPr>
              <w:t>-</w:t>
            </w:r>
          </w:p>
        </w:tc>
      </w:tr>
      <w:tr w:rsidR="006E7117" w14:paraId="3775A698" w14:textId="77777777">
        <w:tblPrEx>
          <w:tblCellMar>
            <w:top w:w="0" w:type="dxa"/>
            <w:bottom w:w="0" w:type="dxa"/>
          </w:tblCellMar>
        </w:tblPrEx>
        <w:trPr>
          <w:cantSplit/>
          <w:trHeight w:val="560"/>
        </w:trPr>
        <w:tc>
          <w:tcPr>
            <w:tcW w:w="700" w:type="dxa"/>
            <w:tcMar>
              <w:top w:w="0" w:type="dxa"/>
              <w:bottom w:w="0" w:type="dxa"/>
            </w:tcMar>
            <w:vAlign w:val="center"/>
          </w:tcPr>
          <w:p w14:paraId="0A59CA60" w14:textId="77777777" w:rsidR="006E7117" w:rsidRDefault="00000000">
            <w:pPr>
              <w:keepNext/>
              <w:keepLines/>
              <w:spacing w:after="0" w:line="240" w:lineRule="auto"/>
            </w:pPr>
            <w:r>
              <w:rPr>
                <w:sz w:val="18"/>
              </w:rPr>
              <w:t>5</w:t>
            </w:r>
          </w:p>
        </w:tc>
        <w:tc>
          <w:tcPr>
            <w:tcW w:w="3180" w:type="dxa"/>
            <w:tcMar>
              <w:top w:w="0" w:type="dxa"/>
              <w:bottom w:w="0" w:type="dxa"/>
            </w:tcMar>
            <w:vAlign w:val="center"/>
          </w:tcPr>
          <w:p w14:paraId="31B58025" w14:textId="77777777" w:rsidR="006E7117"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1B01D8EB" w14:textId="77777777" w:rsidR="006E7117" w:rsidRDefault="00000000">
            <w:pPr>
              <w:keepNext/>
              <w:keepLines/>
              <w:spacing w:after="0" w:line="240" w:lineRule="auto"/>
            </w:pPr>
            <w:r>
              <w:rPr>
                <w:sz w:val="18"/>
              </w:rPr>
              <w:t>5</w:t>
            </w:r>
          </w:p>
        </w:tc>
        <w:tc>
          <w:tcPr>
            <w:tcW w:w="1860" w:type="dxa"/>
            <w:tcMar>
              <w:top w:w="0" w:type="dxa"/>
              <w:bottom w:w="0" w:type="dxa"/>
            </w:tcMar>
            <w:vAlign w:val="center"/>
          </w:tcPr>
          <w:p w14:paraId="30EB822B" w14:textId="77777777" w:rsidR="006E7117" w:rsidRDefault="00000000">
            <w:pPr>
              <w:keepNext/>
              <w:keepLines/>
              <w:spacing w:after="0" w:line="240" w:lineRule="auto"/>
              <w:jc w:val="right"/>
            </w:pPr>
            <w:r>
              <w:rPr>
                <w:sz w:val="18"/>
              </w:rPr>
              <w:t>0,00</w:t>
            </w:r>
          </w:p>
        </w:tc>
        <w:tc>
          <w:tcPr>
            <w:tcW w:w="1860" w:type="dxa"/>
            <w:tcMar>
              <w:top w:w="0" w:type="dxa"/>
              <w:bottom w:w="0" w:type="dxa"/>
            </w:tcMar>
            <w:vAlign w:val="center"/>
          </w:tcPr>
          <w:p w14:paraId="55ED7A72" w14:textId="77777777" w:rsidR="006E7117" w:rsidRDefault="00000000">
            <w:pPr>
              <w:keepNext/>
              <w:keepLines/>
              <w:spacing w:after="0" w:line="240" w:lineRule="auto"/>
              <w:jc w:val="right"/>
            </w:pPr>
            <w:r>
              <w:rPr>
                <w:sz w:val="18"/>
              </w:rPr>
              <w:t>0,00</w:t>
            </w:r>
          </w:p>
        </w:tc>
        <w:tc>
          <w:tcPr>
            <w:tcW w:w="700" w:type="dxa"/>
            <w:tcMar>
              <w:top w:w="0" w:type="dxa"/>
              <w:bottom w:w="0" w:type="dxa"/>
            </w:tcMar>
            <w:vAlign w:val="center"/>
          </w:tcPr>
          <w:p w14:paraId="127F448E" w14:textId="77777777" w:rsidR="006E7117" w:rsidRDefault="00000000">
            <w:pPr>
              <w:keepNext/>
              <w:keepLines/>
              <w:spacing w:after="0" w:line="240" w:lineRule="auto"/>
              <w:jc w:val="right"/>
            </w:pPr>
            <w:r>
              <w:rPr>
                <w:sz w:val="18"/>
              </w:rPr>
              <w:t>-</w:t>
            </w:r>
          </w:p>
        </w:tc>
      </w:tr>
      <w:tr w:rsidR="006E7117" w14:paraId="5A698BBB" w14:textId="77777777">
        <w:tblPrEx>
          <w:tblCellMar>
            <w:top w:w="0" w:type="dxa"/>
            <w:bottom w:w="0" w:type="dxa"/>
          </w:tblCellMar>
        </w:tblPrEx>
        <w:trPr>
          <w:cantSplit/>
          <w:trHeight w:val="560"/>
        </w:trPr>
        <w:tc>
          <w:tcPr>
            <w:tcW w:w="700" w:type="dxa"/>
            <w:tcMar>
              <w:top w:w="0" w:type="dxa"/>
              <w:bottom w:w="0" w:type="dxa"/>
            </w:tcMar>
            <w:vAlign w:val="center"/>
          </w:tcPr>
          <w:p w14:paraId="3784F919" w14:textId="77777777" w:rsidR="006E7117" w:rsidRDefault="006E7117">
            <w:pPr>
              <w:keepNext/>
              <w:keepLines/>
              <w:spacing w:after="0" w:line="240" w:lineRule="auto"/>
            </w:pPr>
          </w:p>
        </w:tc>
        <w:tc>
          <w:tcPr>
            <w:tcW w:w="3180" w:type="dxa"/>
            <w:tcMar>
              <w:top w:w="0" w:type="dxa"/>
              <w:bottom w:w="0" w:type="dxa"/>
            </w:tcMar>
            <w:vAlign w:val="center"/>
          </w:tcPr>
          <w:p w14:paraId="035512CC" w14:textId="77777777" w:rsidR="006E7117"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71BEBFFF" w14:textId="77777777" w:rsidR="006E7117" w:rsidRDefault="00000000">
            <w:pPr>
              <w:keepNext/>
              <w:keepLines/>
              <w:spacing w:after="0" w:line="240" w:lineRule="auto"/>
            </w:pPr>
            <w:r>
              <w:rPr>
                <w:b/>
                <w:sz w:val="18"/>
              </w:rPr>
              <w:t>X003, Y003</w:t>
            </w:r>
          </w:p>
        </w:tc>
        <w:tc>
          <w:tcPr>
            <w:tcW w:w="1860" w:type="dxa"/>
            <w:tcMar>
              <w:top w:w="0" w:type="dxa"/>
              <w:bottom w:w="0" w:type="dxa"/>
            </w:tcMar>
            <w:vAlign w:val="center"/>
          </w:tcPr>
          <w:p w14:paraId="3DD89A11" w14:textId="77777777" w:rsidR="006E7117" w:rsidRDefault="00000000">
            <w:pPr>
              <w:keepNext/>
              <w:keepLines/>
              <w:spacing w:after="0" w:line="240" w:lineRule="auto"/>
              <w:jc w:val="right"/>
            </w:pPr>
            <w:r>
              <w:rPr>
                <w:b/>
                <w:sz w:val="18"/>
              </w:rPr>
              <w:t>0,00</w:t>
            </w:r>
          </w:p>
        </w:tc>
        <w:tc>
          <w:tcPr>
            <w:tcW w:w="1860" w:type="dxa"/>
            <w:tcMar>
              <w:top w:w="0" w:type="dxa"/>
              <w:bottom w:w="0" w:type="dxa"/>
            </w:tcMar>
            <w:vAlign w:val="center"/>
          </w:tcPr>
          <w:p w14:paraId="399B5578" w14:textId="77777777" w:rsidR="006E7117" w:rsidRDefault="00000000">
            <w:pPr>
              <w:keepNext/>
              <w:keepLines/>
              <w:spacing w:after="0" w:line="240" w:lineRule="auto"/>
              <w:jc w:val="right"/>
            </w:pPr>
            <w:r>
              <w:rPr>
                <w:b/>
                <w:sz w:val="18"/>
              </w:rPr>
              <w:t>0,00</w:t>
            </w:r>
          </w:p>
        </w:tc>
        <w:tc>
          <w:tcPr>
            <w:tcW w:w="700" w:type="dxa"/>
            <w:tcMar>
              <w:top w:w="0" w:type="dxa"/>
              <w:bottom w:w="0" w:type="dxa"/>
            </w:tcMar>
            <w:vAlign w:val="center"/>
          </w:tcPr>
          <w:p w14:paraId="172AA786" w14:textId="77777777" w:rsidR="006E7117" w:rsidRDefault="00000000">
            <w:pPr>
              <w:keepNext/>
              <w:keepLines/>
              <w:spacing w:after="0" w:line="240" w:lineRule="auto"/>
              <w:jc w:val="right"/>
            </w:pPr>
            <w:r>
              <w:rPr>
                <w:b/>
                <w:sz w:val="18"/>
              </w:rPr>
              <w:t>-</w:t>
            </w:r>
          </w:p>
        </w:tc>
      </w:tr>
      <w:tr w:rsidR="006E7117" w14:paraId="657BF05B" w14:textId="77777777">
        <w:tblPrEx>
          <w:tblCellMar>
            <w:top w:w="0" w:type="dxa"/>
            <w:bottom w:w="0" w:type="dxa"/>
          </w:tblCellMar>
        </w:tblPrEx>
        <w:trPr>
          <w:cantSplit/>
          <w:trHeight w:val="560"/>
        </w:trPr>
        <w:tc>
          <w:tcPr>
            <w:tcW w:w="700" w:type="dxa"/>
            <w:tcMar>
              <w:top w:w="0" w:type="dxa"/>
              <w:bottom w:w="0" w:type="dxa"/>
            </w:tcMar>
            <w:vAlign w:val="center"/>
          </w:tcPr>
          <w:p w14:paraId="1E226CC9" w14:textId="77777777" w:rsidR="006E7117" w:rsidRDefault="006E7117">
            <w:pPr>
              <w:keepNext/>
              <w:keepLines/>
              <w:spacing w:after="0" w:line="240" w:lineRule="auto"/>
            </w:pPr>
          </w:p>
        </w:tc>
        <w:tc>
          <w:tcPr>
            <w:tcW w:w="3180" w:type="dxa"/>
            <w:tcMar>
              <w:top w:w="0" w:type="dxa"/>
              <w:bottom w:w="0" w:type="dxa"/>
            </w:tcMar>
            <w:vAlign w:val="center"/>
          </w:tcPr>
          <w:p w14:paraId="29B42B6B" w14:textId="77777777" w:rsidR="006E7117"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7FF27DE3" w14:textId="77777777" w:rsidR="006E7117" w:rsidRDefault="00000000">
            <w:pPr>
              <w:keepNext/>
              <w:keepLines/>
              <w:spacing w:after="0" w:line="240" w:lineRule="auto"/>
            </w:pPr>
            <w:r>
              <w:rPr>
                <w:b/>
                <w:sz w:val="18"/>
              </w:rPr>
              <w:t>Y005</w:t>
            </w:r>
          </w:p>
        </w:tc>
        <w:tc>
          <w:tcPr>
            <w:tcW w:w="1860" w:type="dxa"/>
            <w:tcMar>
              <w:top w:w="0" w:type="dxa"/>
              <w:bottom w:w="0" w:type="dxa"/>
            </w:tcMar>
            <w:vAlign w:val="center"/>
          </w:tcPr>
          <w:p w14:paraId="14D45B63" w14:textId="77777777" w:rsidR="006E7117" w:rsidRDefault="00000000">
            <w:pPr>
              <w:keepNext/>
              <w:keepLines/>
              <w:spacing w:after="0" w:line="240" w:lineRule="auto"/>
              <w:jc w:val="right"/>
            </w:pPr>
            <w:r>
              <w:rPr>
                <w:b/>
                <w:sz w:val="18"/>
              </w:rPr>
              <w:t>0,00</w:t>
            </w:r>
          </w:p>
        </w:tc>
        <w:tc>
          <w:tcPr>
            <w:tcW w:w="1860" w:type="dxa"/>
            <w:tcMar>
              <w:top w:w="0" w:type="dxa"/>
              <w:bottom w:w="0" w:type="dxa"/>
            </w:tcMar>
            <w:vAlign w:val="center"/>
          </w:tcPr>
          <w:p w14:paraId="31C2AA6D" w14:textId="77777777" w:rsidR="006E7117" w:rsidRDefault="00000000">
            <w:pPr>
              <w:keepNext/>
              <w:keepLines/>
              <w:spacing w:after="0" w:line="240" w:lineRule="auto"/>
              <w:jc w:val="right"/>
            </w:pPr>
            <w:r>
              <w:rPr>
                <w:b/>
                <w:sz w:val="18"/>
              </w:rPr>
              <w:t>157.425,90</w:t>
            </w:r>
          </w:p>
        </w:tc>
        <w:tc>
          <w:tcPr>
            <w:tcW w:w="700" w:type="dxa"/>
            <w:tcMar>
              <w:top w:w="0" w:type="dxa"/>
              <w:bottom w:w="0" w:type="dxa"/>
            </w:tcMar>
            <w:vAlign w:val="center"/>
          </w:tcPr>
          <w:p w14:paraId="1410D9B0" w14:textId="77777777" w:rsidR="006E7117" w:rsidRDefault="00000000">
            <w:pPr>
              <w:keepNext/>
              <w:keepLines/>
              <w:spacing w:after="0" w:line="240" w:lineRule="auto"/>
              <w:jc w:val="right"/>
            </w:pPr>
            <w:r>
              <w:rPr>
                <w:b/>
                <w:sz w:val="18"/>
              </w:rPr>
              <w:t>-</w:t>
            </w:r>
          </w:p>
        </w:tc>
      </w:tr>
    </w:tbl>
    <w:p w14:paraId="5EC0AE78" w14:textId="77777777" w:rsidR="006E7117" w:rsidRDefault="006E7117">
      <w:pPr>
        <w:spacing w:after="0"/>
      </w:pPr>
    </w:p>
    <w:p w14:paraId="20F22283" w14:textId="77777777" w:rsidR="006E7117" w:rsidRDefault="00000000">
      <w:pPr>
        <w:spacing w:line="240" w:lineRule="auto"/>
        <w:jc w:val="both"/>
      </w:pPr>
      <w:r>
        <w:t xml:space="preserve">Gradski muzej Varaždin tijekom prvih šest mjeseci 2025. godine poslovao je u skladu s odobrenim i raspoloživim financijskim sredstvima. Vlastiti prihodi trošeni su prema dinamici priljeva financijskih sredstava tijekom 2025. godine i prenesenog viška vlastitih prihoda iz ranijih razdoblja. Gradski muzej nema obveza po osnovi kredita, danih kreditnih pisama, hipoteka, sudskih sporova i slično. Zakonski predstavnik i odgovorna osoba Gradskog muzeja Varaždin je ravnatelj Miran Bojanić Morandini.  Na kraju izvještajnog razdoblja, sučeljavanjem ukupno ostvarenih prihoda te evidentiranih rashoda rezultat poslovanja je </w:t>
      </w:r>
      <w:r>
        <w:lastRenderedPageBreak/>
        <w:t>manjak prihoda i primitaka u iznosu od 157.425,90 eura. Obzirom da iz ranijih razdoblja Gradski muzej Varaždin ima preneseni višak prihoda u iznosu od 125.439,55 eura, ostvareni manjak prihoda na kraju izvještajnog razdoblja iznosi 31.986,35 eura. Navedeni manjak je tzv. metodološki manjak i rezultat je metodologije knjiženja u proračunskom računovodstvu.  Prihodi za pokriće manjka evidentirati će se prilikom plaćanja obaveza prema dospijeću tijekom srpnja 2025. godine.</w:t>
      </w:r>
    </w:p>
    <w:p w14:paraId="0422CB2B" w14:textId="77777777" w:rsidR="006E7117" w:rsidRDefault="00000000">
      <w:r>
        <w:br/>
      </w:r>
    </w:p>
    <w:p w14:paraId="45D8E05A" w14:textId="77777777" w:rsidR="006E7117"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6E2774B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C23AB39"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F6C6AF8"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D508DF4"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66285D0"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CB42A92"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6D1EABE" w14:textId="77777777" w:rsidR="006E7117" w:rsidRDefault="00000000">
            <w:pPr>
              <w:keepNext/>
              <w:keepLines/>
              <w:spacing w:after="0" w:line="240" w:lineRule="auto"/>
              <w:jc w:val="center"/>
            </w:pPr>
            <w:r>
              <w:rPr>
                <w:b/>
                <w:sz w:val="18"/>
              </w:rPr>
              <w:t>Indeks (%)</w:t>
            </w:r>
          </w:p>
        </w:tc>
      </w:tr>
      <w:tr w:rsidR="006E7117" w14:paraId="227458EA" w14:textId="77777777">
        <w:tblPrEx>
          <w:tblCellMar>
            <w:top w:w="0" w:type="dxa"/>
            <w:bottom w:w="0" w:type="dxa"/>
          </w:tblCellMar>
        </w:tblPrEx>
        <w:trPr>
          <w:cantSplit/>
          <w:trHeight w:val="560"/>
        </w:trPr>
        <w:tc>
          <w:tcPr>
            <w:tcW w:w="700" w:type="dxa"/>
            <w:tcMar>
              <w:top w:w="0" w:type="dxa"/>
              <w:bottom w:w="0" w:type="dxa"/>
            </w:tcMar>
            <w:vAlign w:val="center"/>
          </w:tcPr>
          <w:p w14:paraId="7AB51CFE" w14:textId="77777777" w:rsidR="006E7117" w:rsidRDefault="00000000">
            <w:pPr>
              <w:keepNext/>
              <w:keepLines/>
              <w:spacing w:after="0" w:line="240" w:lineRule="auto"/>
            </w:pPr>
            <w:r>
              <w:rPr>
                <w:sz w:val="18"/>
              </w:rPr>
              <w:t>65</w:t>
            </w:r>
          </w:p>
        </w:tc>
        <w:tc>
          <w:tcPr>
            <w:tcW w:w="3180" w:type="dxa"/>
            <w:tcMar>
              <w:top w:w="0" w:type="dxa"/>
              <w:bottom w:w="0" w:type="dxa"/>
            </w:tcMar>
            <w:vAlign w:val="center"/>
          </w:tcPr>
          <w:p w14:paraId="11262301" w14:textId="77777777" w:rsidR="006E7117" w:rsidRDefault="00000000">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7F199209" w14:textId="77777777" w:rsidR="006E7117" w:rsidRDefault="00000000">
            <w:pPr>
              <w:keepNext/>
              <w:keepLines/>
              <w:spacing w:after="0" w:line="240" w:lineRule="auto"/>
            </w:pPr>
            <w:r>
              <w:rPr>
                <w:sz w:val="18"/>
              </w:rPr>
              <w:t>65</w:t>
            </w:r>
          </w:p>
        </w:tc>
        <w:tc>
          <w:tcPr>
            <w:tcW w:w="1860" w:type="dxa"/>
            <w:tcMar>
              <w:top w:w="0" w:type="dxa"/>
              <w:bottom w:w="0" w:type="dxa"/>
            </w:tcMar>
            <w:vAlign w:val="center"/>
          </w:tcPr>
          <w:p w14:paraId="130457B6" w14:textId="77777777" w:rsidR="006E7117" w:rsidRDefault="00000000">
            <w:pPr>
              <w:keepNext/>
              <w:keepLines/>
              <w:spacing w:after="0" w:line="240" w:lineRule="auto"/>
              <w:jc w:val="right"/>
            </w:pPr>
            <w:r>
              <w:rPr>
                <w:sz w:val="18"/>
              </w:rPr>
              <w:t>39.970,70</w:t>
            </w:r>
          </w:p>
        </w:tc>
        <w:tc>
          <w:tcPr>
            <w:tcW w:w="1860" w:type="dxa"/>
            <w:tcMar>
              <w:top w:w="0" w:type="dxa"/>
              <w:bottom w:w="0" w:type="dxa"/>
            </w:tcMar>
            <w:vAlign w:val="center"/>
          </w:tcPr>
          <w:p w14:paraId="28A59F16" w14:textId="77777777" w:rsidR="006E7117" w:rsidRDefault="00000000">
            <w:pPr>
              <w:keepNext/>
              <w:keepLines/>
              <w:spacing w:after="0" w:line="240" w:lineRule="auto"/>
              <w:jc w:val="right"/>
            </w:pPr>
            <w:r>
              <w:rPr>
                <w:sz w:val="18"/>
              </w:rPr>
              <w:t>22.450,69</w:t>
            </w:r>
          </w:p>
        </w:tc>
        <w:tc>
          <w:tcPr>
            <w:tcW w:w="700" w:type="dxa"/>
            <w:tcMar>
              <w:top w:w="0" w:type="dxa"/>
              <w:bottom w:w="0" w:type="dxa"/>
            </w:tcMar>
            <w:vAlign w:val="center"/>
          </w:tcPr>
          <w:p w14:paraId="74D4CAC8" w14:textId="77777777" w:rsidR="006E7117" w:rsidRDefault="00000000">
            <w:pPr>
              <w:keepNext/>
              <w:keepLines/>
              <w:spacing w:after="0" w:line="240" w:lineRule="auto"/>
              <w:jc w:val="right"/>
            </w:pPr>
            <w:r>
              <w:rPr>
                <w:sz w:val="18"/>
              </w:rPr>
              <w:t>56,2</w:t>
            </w:r>
          </w:p>
        </w:tc>
      </w:tr>
    </w:tbl>
    <w:p w14:paraId="6483BF07" w14:textId="77777777" w:rsidR="006E7117" w:rsidRDefault="006E7117">
      <w:pPr>
        <w:spacing w:after="0"/>
      </w:pPr>
    </w:p>
    <w:p w14:paraId="2D446E53" w14:textId="77777777" w:rsidR="006E7117" w:rsidRDefault="00000000">
      <w:pPr>
        <w:spacing w:line="240" w:lineRule="auto"/>
        <w:jc w:val="both"/>
      </w:pPr>
      <w:r>
        <w:t>Gradski muzej Varaždin na šifri 65 evidentira prihode od ulaznica u muzejske prostore koji su u odnosu na isto razdoblje prethodne godine manji zbog energetske obnove Starog grada Varaždina koji je tijekom izvještajnog razdoblja bio zatvoren za posjetitelje zbog radova na obnovi.</w:t>
      </w:r>
    </w:p>
    <w:p w14:paraId="35492684" w14:textId="77777777" w:rsidR="006E7117" w:rsidRDefault="006E7117"/>
    <w:p w14:paraId="525770EA" w14:textId="77777777" w:rsidR="006E7117"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65071FE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F93AE79"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F99669E"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B02B59C"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1FDDEF6"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35F738A"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FE02563" w14:textId="77777777" w:rsidR="006E7117" w:rsidRDefault="00000000">
            <w:pPr>
              <w:keepNext/>
              <w:keepLines/>
              <w:spacing w:after="0" w:line="240" w:lineRule="auto"/>
              <w:jc w:val="center"/>
            </w:pPr>
            <w:r>
              <w:rPr>
                <w:b/>
                <w:sz w:val="18"/>
              </w:rPr>
              <w:t>Indeks (%)</w:t>
            </w:r>
          </w:p>
        </w:tc>
      </w:tr>
      <w:tr w:rsidR="006E7117" w14:paraId="25329EFE" w14:textId="77777777">
        <w:tblPrEx>
          <w:tblCellMar>
            <w:top w:w="0" w:type="dxa"/>
            <w:bottom w:w="0" w:type="dxa"/>
          </w:tblCellMar>
        </w:tblPrEx>
        <w:trPr>
          <w:cantSplit/>
          <w:trHeight w:val="560"/>
        </w:trPr>
        <w:tc>
          <w:tcPr>
            <w:tcW w:w="700" w:type="dxa"/>
            <w:tcMar>
              <w:top w:w="0" w:type="dxa"/>
              <w:bottom w:w="0" w:type="dxa"/>
            </w:tcMar>
            <w:vAlign w:val="center"/>
          </w:tcPr>
          <w:p w14:paraId="5D5FD20F" w14:textId="77777777" w:rsidR="006E7117" w:rsidRDefault="00000000">
            <w:pPr>
              <w:keepNext/>
              <w:keepLines/>
              <w:spacing w:after="0" w:line="240" w:lineRule="auto"/>
            </w:pPr>
            <w:r>
              <w:rPr>
                <w:sz w:val="18"/>
              </w:rPr>
              <w:t>6614</w:t>
            </w:r>
          </w:p>
        </w:tc>
        <w:tc>
          <w:tcPr>
            <w:tcW w:w="3180" w:type="dxa"/>
            <w:tcMar>
              <w:top w:w="0" w:type="dxa"/>
              <w:bottom w:w="0" w:type="dxa"/>
            </w:tcMar>
            <w:vAlign w:val="center"/>
          </w:tcPr>
          <w:p w14:paraId="400A6DEE" w14:textId="77777777" w:rsidR="006E7117" w:rsidRDefault="00000000">
            <w:pPr>
              <w:keepNext/>
              <w:keepLines/>
              <w:spacing w:after="0" w:line="240" w:lineRule="auto"/>
            </w:pPr>
            <w:r>
              <w:rPr>
                <w:sz w:val="18"/>
              </w:rPr>
              <w:t>Prihodi od prodaje proizvoda i robe</w:t>
            </w:r>
          </w:p>
        </w:tc>
        <w:tc>
          <w:tcPr>
            <w:tcW w:w="700" w:type="dxa"/>
            <w:tcMar>
              <w:top w:w="0" w:type="dxa"/>
              <w:bottom w:w="0" w:type="dxa"/>
            </w:tcMar>
            <w:vAlign w:val="center"/>
          </w:tcPr>
          <w:p w14:paraId="6B280D30" w14:textId="77777777" w:rsidR="006E7117" w:rsidRDefault="00000000">
            <w:pPr>
              <w:keepNext/>
              <w:keepLines/>
              <w:spacing w:after="0" w:line="240" w:lineRule="auto"/>
            </w:pPr>
            <w:r>
              <w:rPr>
                <w:sz w:val="18"/>
              </w:rPr>
              <w:t>6614</w:t>
            </w:r>
          </w:p>
        </w:tc>
        <w:tc>
          <w:tcPr>
            <w:tcW w:w="1860" w:type="dxa"/>
            <w:tcMar>
              <w:top w:w="0" w:type="dxa"/>
              <w:bottom w:w="0" w:type="dxa"/>
            </w:tcMar>
            <w:vAlign w:val="center"/>
          </w:tcPr>
          <w:p w14:paraId="7A8EE072" w14:textId="77777777" w:rsidR="006E7117" w:rsidRDefault="00000000">
            <w:pPr>
              <w:keepNext/>
              <w:keepLines/>
              <w:spacing w:after="0" w:line="240" w:lineRule="auto"/>
              <w:jc w:val="right"/>
            </w:pPr>
            <w:r>
              <w:rPr>
                <w:sz w:val="18"/>
              </w:rPr>
              <w:t>6.290,10</w:t>
            </w:r>
          </w:p>
        </w:tc>
        <w:tc>
          <w:tcPr>
            <w:tcW w:w="1860" w:type="dxa"/>
            <w:tcMar>
              <w:top w:w="0" w:type="dxa"/>
              <w:bottom w:w="0" w:type="dxa"/>
            </w:tcMar>
            <w:vAlign w:val="center"/>
          </w:tcPr>
          <w:p w14:paraId="564578EA" w14:textId="77777777" w:rsidR="006E7117" w:rsidRDefault="00000000">
            <w:pPr>
              <w:keepNext/>
              <w:keepLines/>
              <w:spacing w:after="0" w:line="240" w:lineRule="auto"/>
              <w:jc w:val="right"/>
            </w:pPr>
            <w:r>
              <w:rPr>
                <w:sz w:val="18"/>
              </w:rPr>
              <w:t>3.105,80</w:t>
            </w:r>
          </w:p>
        </w:tc>
        <w:tc>
          <w:tcPr>
            <w:tcW w:w="700" w:type="dxa"/>
            <w:tcMar>
              <w:top w:w="0" w:type="dxa"/>
              <w:bottom w:w="0" w:type="dxa"/>
            </w:tcMar>
            <w:vAlign w:val="center"/>
          </w:tcPr>
          <w:p w14:paraId="423C7A74" w14:textId="77777777" w:rsidR="006E7117" w:rsidRDefault="00000000">
            <w:pPr>
              <w:keepNext/>
              <w:keepLines/>
              <w:spacing w:after="0" w:line="240" w:lineRule="auto"/>
              <w:jc w:val="right"/>
            </w:pPr>
            <w:r>
              <w:rPr>
                <w:sz w:val="18"/>
              </w:rPr>
              <w:t>49,4</w:t>
            </w:r>
          </w:p>
        </w:tc>
      </w:tr>
    </w:tbl>
    <w:p w14:paraId="220A2A80" w14:textId="77777777" w:rsidR="006E7117" w:rsidRDefault="006E7117">
      <w:pPr>
        <w:spacing w:after="0"/>
      </w:pPr>
    </w:p>
    <w:p w14:paraId="7B0D3B20" w14:textId="77777777" w:rsidR="006E7117" w:rsidRDefault="00000000">
      <w:pPr>
        <w:spacing w:line="240" w:lineRule="auto"/>
        <w:jc w:val="both"/>
      </w:pPr>
      <w:r>
        <w:t>Prihodi od prodaje suvenira i promotivnih sadržaja muzeja također su zbog zatvaranja za posjetitelje Starog grada Varaždina značajno smanjeni.</w:t>
      </w:r>
    </w:p>
    <w:p w14:paraId="45A23788" w14:textId="77777777" w:rsidR="006E7117" w:rsidRDefault="006E7117"/>
    <w:p w14:paraId="7B392E73" w14:textId="77777777" w:rsidR="006E7117"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664D577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BB7EE02"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A32A2DC"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9EAD7C"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72468A"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008E376"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00B2313" w14:textId="77777777" w:rsidR="006E7117" w:rsidRDefault="00000000">
            <w:pPr>
              <w:keepNext/>
              <w:keepLines/>
              <w:spacing w:after="0" w:line="240" w:lineRule="auto"/>
              <w:jc w:val="center"/>
            </w:pPr>
            <w:r>
              <w:rPr>
                <w:b/>
                <w:sz w:val="18"/>
              </w:rPr>
              <w:t>Indeks (%)</w:t>
            </w:r>
          </w:p>
        </w:tc>
      </w:tr>
      <w:tr w:rsidR="006E7117" w14:paraId="63FAAAC1" w14:textId="77777777">
        <w:tblPrEx>
          <w:tblCellMar>
            <w:top w:w="0" w:type="dxa"/>
            <w:bottom w:w="0" w:type="dxa"/>
          </w:tblCellMar>
        </w:tblPrEx>
        <w:trPr>
          <w:cantSplit/>
          <w:trHeight w:val="560"/>
        </w:trPr>
        <w:tc>
          <w:tcPr>
            <w:tcW w:w="700" w:type="dxa"/>
            <w:tcMar>
              <w:top w:w="0" w:type="dxa"/>
              <w:bottom w:w="0" w:type="dxa"/>
            </w:tcMar>
            <w:vAlign w:val="center"/>
          </w:tcPr>
          <w:p w14:paraId="40210F40" w14:textId="77777777" w:rsidR="006E7117" w:rsidRDefault="00000000">
            <w:pPr>
              <w:keepNext/>
              <w:keepLines/>
              <w:spacing w:after="0" w:line="240" w:lineRule="auto"/>
            </w:pPr>
            <w:r>
              <w:rPr>
                <w:sz w:val="18"/>
              </w:rPr>
              <w:t>6615</w:t>
            </w:r>
          </w:p>
        </w:tc>
        <w:tc>
          <w:tcPr>
            <w:tcW w:w="3180" w:type="dxa"/>
            <w:tcMar>
              <w:top w:w="0" w:type="dxa"/>
              <w:bottom w:w="0" w:type="dxa"/>
            </w:tcMar>
            <w:vAlign w:val="center"/>
          </w:tcPr>
          <w:p w14:paraId="4F52EBBB" w14:textId="77777777" w:rsidR="006E7117" w:rsidRDefault="00000000">
            <w:pPr>
              <w:keepNext/>
              <w:keepLines/>
              <w:spacing w:after="0" w:line="240" w:lineRule="auto"/>
            </w:pPr>
            <w:r>
              <w:rPr>
                <w:sz w:val="18"/>
              </w:rPr>
              <w:t>Prihodi od pruženih usluga</w:t>
            </w:r>
          </w:p>
        </w:tc>
        <w:tc>
          <w:tcPr>
            <w:tcW w:w="700" w:type="dxa"/>
            <w:tcMar>
              <w:top w:w="0" w:type="dxa"/>
              <w:bottom w:w="0" w:type="dxa"/>
            </w:tcMar>
            <w:vAlign w:val="center"/>
          </w:tcPr>
          <w:p w14:paraId="3B2A4AD6" w14:textId="77777777" w:rsidR="006E7117" w:rsidRDefault="00000000">
            <w:pPr>
              <w:keepNext/>
              <w:keepLines/>
              <w:spacing w:after="0" w:line="240" w:lineRule="auto"/>
            </w:pPr>
            <w:r>
              <w:rPr>
                <w:sz w:val="18"/>
              </w:rPr>
              <w:t>6615</w:t>
            </w:r>
          </w:p>
        </w:tc>
        <w:tc>
          <w:tcPr>
            <w:tcW w:w="1860" w:type="dxa"/>
            <w:tcMar>
              <w:top w:w="0" w:type="dxa"/>
              <w:bottom w:w="0" w:type="dxa"/>
            </w:tcMar>
            <w:vAlign w:val="center"/>
          </w:tcPr>
          <w:p w14:paraId="6085CEC7" w14:textId="77777777" w:rsidR="006E7117" w:rsidRDefault="00000000">
            <w:pPr>
              <w:keepNext/>
              <w:keepLines/>
              <w:spacing w:after="0" w:line="240" w:lineRule="auto"/>
              <w:jc w:val="right"/>
            </w:pPr>
            <w:r>
              <w:rPr>
                <w:sz w:val="18"/>
              </w:rPr>
              <w:t>34.374,78</w:t>
            </w:r>
          </w:p>
        </w:tc>
        <w:tc>
          <w:tcPr>
            <w:tcW w:w="1860" w:type="dxa"/>
            <w:tcMar>
              <w:top w:w="0" w:type="dxa"/>
              <w:bottom w:w="0" w:type="dxa"/>
            </w:tcMar>
            <w:vAlign w:val="center"/>
          </w:tcPr>
          <w:p w14:paraId="085A9CBC" w14:textId="77777777" w:rsidR="006E7117" w:rsidRDefault="00000000">
            <w:pPr>
              <w:keepNext/>
              <w:keepLines/>
              <w:spacing w:after="0" w:line="240" w:lineRule="auto"/>
              <w:jc w:val="right"/>
            </w:pPr>
            <w:r>
              <w:rPr>
                <w:sz w:val="18"/>
              </w:rPr>
              <w:t>24.159,83</w:t>
            </w:r>
          </w:p>
        </w:tc>
        <w:tc>
          <w:tcPr>
            <w:tcW w:w="700" w:type="dxa"/>
            <w:tcMar>
              <w:top w:w="0" w:type="dxa"/>
              <w:bottom w:w="0" w:type="dxa"/>
            </w:tcMar>
            <w:vAlign w:val="center"/>
          </w:tcPr>
          <w:p w14:paraId="173B961E" w14:textId="77777777" w:rsidR="006E7117" w:rsidRDefault="00000000">
            <w:pPr>
              <w:keepNext/>
              <w:keepLines/>
              <w:spacing w:after="0" w:line="240" w:lineRule="auto"/>
              <w:jc w:val="right"/>
            </w:pPr>
            <w:r>
              <w:rPr>
                <w:sz w:val="18"/>
              </w:rPr>
              <w:t>70,3</w:t>
            </w:r>
          </w:p>
        </w:tc>
      </w:tr>
    </w:tbl>
    <w:p w14:paraId="22758E40" w14:textId="77777777" w:rsidR="006E7117" w:rsidRDefault="006E7117">
      <w:pPr>
        <w:spacing w:after="0"/>
      </w:pPr>
    </w:p>
    <w:p w14:paraId="12DEE274" w14:textId="77777777" w:rsidR="006E7117" w:rsidRDefault="00000000">
      <w:pPr>
        <w:spacing w:line="240" w:lineRule="auto"/>
        <w:jc w:val="both"/>
      </w:pPr>
      <w:r>
        <w:t>Navedeni prihodi u prvih šest mjeseci bilježe pad u odnosu na prethodnu godinu jer će se fakturiranje i naplata ugovorenih arheoloških istraživanja izvršiti u većim iznosima tijekom druge polovice 2025. godine.</w:t>
      </w:r>
    </w:p>
    <w:p w14:paraId="0BA22E45" w14:textId="77777777" w:rsidR="006E7117" w:rsidRDefault="006E7117"/>
    <w:p w14:paraId="67D5D465" w14:textId="77777777" w:rsidR="006E7117" w:rsidRDefault="00000000">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109DDE6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14223E6"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167F60A"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C569C0B"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1AD5DF7"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2FA8BE6"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0D5AEC1" w14:textId="77777777" w:rsidR="006E7117" w:rsidRDefault="00000000">
            <w:pPr>
              <w:keepNext/>
              <w:keepLines/>
              <w:spacing w:after="0" w:line="240" w:lineRule="auto"/>
              <w:jc w:val="center"/>
            </w:pPr>
            <w:r>
              <w:rPr>
                <w:b/>
                <w:sz w:val="18"/>
              </w:rPr>
              <w:t>Indeks (%)</w:t>
            </w:r>
          </w:p>
        </w:tc>
      </w:tr>
      <w:tr w:rsidR="006E7117" w14:paraId="7F8600B7" w14:textId="77777777">
        <w:tblPrEx>
          <w:tblCellMar>
            <w:top w:w="0" w:type="dxa"/>
            <w:bottom w:w="0" w:type="dxa"/>
          </w:tblCellMar>
        </w:tblPrEx>
        <w:trPr>
          <w:cantSplit/>
          <w:trHeight w:val="560"/>
        </w:trPr>
        <w:tc>
          <w:tcPr>
            <w:tcW w:w="700" w:type="dxa"/>
            <w:tcMar>
              <w:top w:w="0" w:type="dxa"/>
              <w:bottom w:w="0" w:type="dxa"/>
            </w:tcMar>
            <w:vAlign w:val="center"/>
          </w:tcPr>
          <w:p w14:paraId="136B0445" w14:textId="77777777" w:rsidR="006E7117" w:rsidRDefault="00000000">
            <w:pPr>
              <w:keepNext/>
              <w:keepLines/>
              <w:spacing w:after="0" w:line="240" w:lineRule="auto"/>
            </w:pPr>
            <w:r>
              <w:rPr>
                <w:sz w:val="18"/>
              </w:rPr>
              <w:t>663</w:t>
            </w:r>
          </w:p>
        </w:tc>
        <w:tc>
          <w:tcPr>
            <w:tcW w:w="3180" w:type="dxa"/>
            <w:tcMar>
              <w:top w:w="0" w:type="dxa"/>
              <w:bottom w:w="0" w:type="dxa"/>
            </w:tcMar>
            <w:vAlign w:val="center"/>
          </w:tcPr>
          <w:p w14:paraId="0B8F8A89" w14:textId="77777777" w:rsidR="006E7117" w:rsidRDefault="00000000">
            <w:pPr>
              <w:keepNext/>
              <w:keepLines/>
              <w:spacing w:after="0" w:line="240" w:lineRule="auto"/>
            </w:pPr>
            <w:r>
              <w:rPr>
                <w:sz w:val="18"/>
              </w:rPr>
              <w:t>Donacije od pravnih i fizičkih osoba izvan općeg proračuna te povrat donacija i kapitalnih pomoći po protestiranim jamstvima (šifre 6631 do 6634)</w:t>
            </w:r>
          </w:p>
        </w:tc>
        <w:tc>
          <w:tcPr>
            <w:tcW w:w="700" w:type="dxa"/>
            <w:tcMar>
              <w:top w:w="0" w:type="dxa"/>
              <w:bottom w:w="0" w:type="dxa"/>
            </w:tcMar>
            <w:vAlign w:val="center"/>
          </w:tcPr>
          <w:p w14:paraId="1CC2577A" w14:textId="77777777" w:rsidR="006E7117" w:rsidRDefault="00000000">
            <w:pPr>
              <w:keepNext/>
              <w:keepLines/>
              <w:spacing w:after="0" w:line="240" w:lineRule="auto"/>
            </w:pPr>
            <w:r>
              <w:rPr>
                <w:sz w:val="18"/>
              </w:rPr>
              <w:t>663</w:t>
            </w:r>
          </w:p>
        </w:tc>
        <w:tc>
          <w:tcPr>
            <w:tcW w:w="1860" w:type="dxa"/>
            <w:tcMar>
              <w:top w:w="0" w:type="dxa"/>
              <w:bottom w:w="0" w:type="dxa"/>
            </w:tcMar>
            <w:vAlign w:val="center"/>
          </w:tcPr>
          <w:p w14:paraId="66A2B584" w14:textId="77777777" w:rsidR="006E7117" w:rsidRDefault="00000000">
            <w:pPr>
              <w:keepNext/>
              <w:keepLines/>
              <w:spacing w:after="0" w:line="240" w:lineRule="auto"/>
              <w:jc w:val="right"/>
            </w:pPr>
            <w:r>
              <w:rPr>
                <w:sz w:val="18"/>
              </w:rPr>
              <w:t>1.012,82</w:t>
            </w:r>
          </w:p>
        </w:tc>
        <w:tc>
          <w:tcPr>
            <w:tcW w:w="1860" w:type="dxa"/>
            <w:tcMar>
              <w:top w:w="0" w:type="dxa"/>
              <w:bottom w:w="0" w:type="dxa"/>
            </w:tcMar>
            <w:vAlign w:val="center"/>
          </w:tcPr>
          <w:p w14:paraId="0B1A6CC3" w14:textId="77777777" w:rsidR="006E7117" w:rsidRDefault="00000000">
            <w:pPr>
              <w:keepNext/>
              <w:keepLines/>
              <w:spacing w:after="0" w:line="240" w:lineRule="auto"/>
              <w:jc w:val="right"/>
            </w:pPr>
            <w:r>
              <w:rPr>
                <w:sz w:val="18"/>
              </w:rPr>
              <w:t>5.500,00</w:t>
            </w:r>
          </w:p>
        </w:tc>
        <w:tc>
          <w:tcPr>
            <w:tcW w:w="700" w:type="dxa"/>
            <w:tcMar>
              <w:top w:w="0" w:type="dxa"/>
              <w:bottom w:w="0" w:type="dxa"/>
            </w:tcMar>
            <w:vAlign w:val="center"/>
          </w:tcPr>
          <w:p w14:paraId="0FCB2639" w14:textId="77777777" w:rsidR="006E7117" w:rsidRDefault="00000000">
            <w:pPr>
              <w:keepNext/>
              <w:keepLines/>
              <w:spacing w:after="0" w:line="240" w:lineRule="auto"/>
              <w:jc w:val="right"/>
            </w:pPr>
            <w:r>
              <w:rPr>
                <w:sz w:val="18"/>
              </w:rPr>
              <w:t>543,0</w:t>
            </w:r>
          </w:p>
        </w:tc>
      </w:tr>
    </w:tbl>
    <w:p w14:paraId="52D66C88" w14:textId="77777777" w:rsidR="006E7117" w:rsidRDefault="006E7117">
      <w:pPr>
        <w:spacing w:after="0"/>
      </w:pPr>
    </w:p>
    <w:p w14:paraId="070E8795" w14:textId="77777777" w:rsidR="006E7117" w:rsidRDefault="00000000">
      <w:pPr>
        <w:spacing w:line="240" w:lineRule="auto"/>
        <w:jc w:val="both"/>
      </w:pPr>
      <w:r>
        <w:t xml:space="preserve">Donacija u iznosu od 5.500,00 eura sastoji se od donacije grafičkih mapa u iznosu od 3.000,00 eura darovatelja Bože </w:t>
      </w:r>
      <w:proofErr w:type="spellStart"/>
      <w:r>
        <w:t>Biškupića</w:t>
      </w:r>
      <w:proofErr w:type="spellEnd"/>
      <w:r>
        <w:t xml:space="preserve"> te od donacije Zoltana </w:t>
      </w:r>
      <w:proofErr w:type="spellStart"/>
      <w:r>
        <w:t>Vaštaga</w:t>
      </w:r>
      <w:proofErr w:type="spellEnd"/>
      <w:r>
        <w:t xml:space="preserve"> za izradu replike cimera djetića ceha zidara, kamenara i tesara koji se čuva u GMV-u prema ugovoru od donaciji br. 102-25 u iznosu od 2.500,00 eura.</w:t>
      </w:r>
    </w:p>
    <w:p w14:paraId="5374215D" w14:textId="77777777" w:rsidR="006E7117" w:rsidRDefault="006E7117"/>
    <w:p w14:paraId="2930DC81" w14:textId="77777777" w:rsidR="006E7117"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561D161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2881408"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9756892"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83997EF"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4867F13"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6C5A7D0"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7C39AF8" w14:textId="77777777" w:rsidR="006E7117" w:rsidRDefault="00000000">
            <w:pPr>
              <w:keepNext/>
              <w:keepLines/>
              <w:spacing w:after="0" w:line="240" w:lineRule="auto"/>
              <w:jc w:val="center"/>
            </w:pPr>
            <w:r>
              <w:rPr>
                <w:b/>
                <w:sz w:val="18"/>
              </w:rPr>
              <w:t>Indeks (%)</w:t>
            </w:r>
          </w:p>
        </w:tc>
      </w:tr>
      <w:tr w:rsidR="006E7117" w14:paraId="61F9E305" w14:textId="77777777">
        <w:tblPrEx>
          <w:tblCellMar>
            <w:top w:w="0" w:type="dxa"/>
            <w:bottom w:w="0" w:type="dxa"/>
          </w:tblCellMar>
        </w:tblPrEx>
        <w:trPr>
          <w:cantSplit/>
          <w:trHeight w:val="560"/>
        </w:trPr>
        <w:tc>
          <w:tcPr>
            <w:tcW w:w="700" w:type="dxa"/>
            <w:tcMar>
              <w:top w:w="0" w:type="dxa"/>
              <w:bottom w:w="0" w:type="dxa"/>
            </w:tcMar>
            <w:vAlign w:val="center"/>
          </w:tcPr>
          <w:p w14:paraId="34E4CC04" w14:textId="77777777" w:rsidR="006E7117" w:rsidRDefault="00000000">
            <w:pPr>
              <w:keepNext/>
              <w:keepLines/>
              <w:spacing w:after="0" w:line="240" w:lineRule="auto"/>
            </w:pPr>
            <w:r>
              <w:rPr>
                <w:sz w:val="18"/>
              </w:rPr>
              <w:t>31</w:t>
            </w:r>
          </w:p>
        </w:tc>
        <w:tc>
          <w:tcPr>
            <w:tcW w:w="3180" w:type="dxa"/>
            <w:tcMar>
              <w:top w:w="0" w:type="dxa"/>
              <w:bottom w:w="0" w:type="dxa"/>
            </w:tcMar>
            <w:vAlign w:val="center"/>
          </w:tcPr>
          <w:p w14:paraId="48738B9F" w14:textId="77777777" w:rsidR="006E7117"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13C02842" w14:textId="77777777" w:rsidR="006E7117" w:rsidRDefault="00000000">
            <w:pPr>
              <w:keepNext/>
              <w:keepLines/>
              <w:spacing w:after="0" w:line="240" w:lineRule="auto"/>
            </w:pPr>
            <w:r>
              <w:rPr>
                <w:sz w:val="18"/>
              </w:rPr>
              <w:t>31</w:t>
            </w:r>
          </w:p>
        </w:tc>
        <w:tc>
          <w:tcPr>
            <w:tcW w:w="1860" w:type="dxa"/>
            <w:tcMar>
              <w:top w:w="0" w:type="dxa"/>
              <w:bottom w:w="0" w:type="dxa"/>
            </w:tcMar>
            <w:vAlign w:val="center"/>
          </w:tcPr>
          <w:p w14:paraId="4DD5291E" w14:textId="77777777" w:rsidR="006E7117" w:rsidRDefault="00000000">
            <w:pPr>
              <w:keepNext/>
              <w:keepLines/>
              <w:spacing w:after="0" w:line="240" w:lineRule="auto"/>
              <w:jc w:val="right"/>
            </w:pPr>
            <w:r>
              <w:rPr>
                <w:sz w:val="18"/>
              </w:rPr>
              <w:t>380.671,25</w:t>
            </w:r>
          </w:p>
        </w:tc>
        <w:tc>
          <w:tcPr>
            <w:tcW w:w="1860" w:type="dxa"/>
            <w:tcMar>
              <w:top w:w="0" w:type="dxa"/>
              <w:bottom w:w="0" w:type="dxa"/>
            </w:tcMar>
            <w:vAlign w:val="center"/>
          </w:tcPr>
          <w:p w14:paraId="05974622" w14:textId="77777777" w:rsidR="006E7117" w:rsidRDefault="00000000">
            <w:pPr>
              <w:keepNext/>
              <w:keepLines/>
              <w:spacing w:after="0" w:line="240" w:lineRule="auto"/>
              <w:jc w:val="right"/>
            </w:pPr>
            <w:r>
              <w:rPr>
                <w:sz w:val="18"/>
              </w:rPr>
              <w:t>502.517,94</w:t>
            </w:r>
          </w:p>
        </w:tc>
        <w:tc>
          <w:tcPr>
            <w:tcW w:w="700" w:type="dxa"/>
            <w:tcMar>
              <w:top w:w="0" w:type="dxa"/>
              <w:bottom w:w="0" w:type="dxa"/>
            </w:tcMar>
            <w:vAlign w:val="center"/>
          </w:tcPr>
          <w:p w14:paraId="176A3EDA" w14:textId="77777777" w:rsidR="006E7117" w:rsidRDefault="00000000">
            <w:pPr>
              <w:keepNext/>
              <w:keepLines/>
              <w:spacing w:after="0" w:line="240" w:lineRule="auto"/>
              <w:jc w:val="right"/>
            </w:pPr>
            <w:r>
              <w:rPr>
                <w:sz w:val="18"/>
              </w:rPr>
              <w:t>132,0</w:t>
            </w:r>
          </w:p>
        </w:tc>
      </w:tr>
    </w:tbl>
    <w:p w14:paraId="4A872F00" w14:textId="77777777" w:rsidR="006E7117" w:rsidRDefault="006E7117">
      <w:pPr>
        <w:spacing w:after="0"/>
      </w:pPr>
    </w:p>
    <w:p w14:paraId="3F22FA54" w14:textId="77777777" w:rsidR="006E7117" w:rsidRDefault="00000000">
      <w:pPr>
        <w:spacing w:line="240" w:lineRule="auto"/>
        <w:jc w:val="both"/>
      </w:pPr>
      <w:r>
        <w:t>Rast rashoda za zaposlene rezultat je povećanja  koeficijenata i osnovice za obračun plaće temeljem kolektivnog ugovora zaposlenika GMV-a i odluke Grada.</w:t>
      </w:r>
    </w:p>
    <w:p w14:paraId="3BEA2E80" w14:textId="77777777" w:rsidR="006E7117" w:rsidRDefault="006E7117"/>
    <w:p w14:paraId="2206B101" w14:textId="77777777" w:rsidR="006E7117"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0602126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5C1384B"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09999A6"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FA82747"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0F7D4EB"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EAFF43D"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F39C332" w14:textId="77777777" w:rsidR="006E7117" w:rsidRDefault="00000000">
            <w:pPr>
              <w:keepNext/>
              <w:keepLines/>
              <w:spacing w:after="0" w:line="240" w:lineRule="auto"/>
              <w:jc w:val="center"/>
            </w:pPr>
            <w:r>
              <w:rPr>
                <w:b/>
                <w:sz w:val="18"/>
              </w:rPr>
              <w:t>Indeks (%)</w:t>
            </w:r>
          </w:p>
        </w:tc>
      </w:tr>
      <w:tr w:rsidR="006E7117" w14:paraId="2CBB4EDD" w14:textId="77777777">
        <w:tblPrEx>
          <w:tblCellMar>
            <w:top w:w="0" w:type="dxa"/>
            <w:bottom w:w="0" w:type="dxa"/>
          </w:tblCellMar>
        </w:tblPrEx>
        <w:trPr>
          <w:cantSplit/>
          <w:trHeight w:val="560"/>
        </w:trPr>
        <w:tc>
          <w:tcPr>
            <w:tcW w:w="700" w:type="dxa"/>
            <w:tcMar>
              <w:top w:w="0" w:type="dxa"/>
              <w:bottom w:w="0" w:type="dxa"/>
            </w:tcMar>
            <w:vAlign w:val="center"/>
          </w:tcPr>
          <w:p w14:paraId="1887FC71" w14:textId="77777777" w:rsidR="006E7117" w:rsidRDefault="00000000">
            <w:pPr>
              <w:keepNext/>
              <w:keepLines/>
              <w:spacing w:after="0" w:line="240" w:lineRule="auto"/>
            </w:pPr>
            <w:r>
              <w:rPr>
                <w:sz w:val="18"/>
              </w:rPr>
              <w:t>3213</w:t>
            </w:r>
          </w:p>
        </w:tc>
        <w:tc>
          <w:tcPr>
            <w:tcW w:w="3180" w:type="dxa"/>
            <w:tcMar>
              <w:top w:w="0" w:type="dxa"/>
              <w:bottom w:w="0" w:type="dxa"/>
            </w:tcMar>
            <w:vAlign w:val="center"/>
          </w:tcPr>
          <w:p w14:paraId="33EC2F6D" w14:textId="77777777" w:rsidR="006E7117" w:rsidRDefault="00000000">
            <w:pPr>
              <w:keepNext/>
              <w:keepLines/>
              <w:spacing w:after="0" w:line="240" w:lineRule="auto"/>
            </w:pPr>
            <w:r>
              <w:rPr>
                <w:sz w:val="18"/>
              </w:rPr>
              <w:t>Stručno usavršavanje zaposlenika</w:t>
            </w:r>
          </w:p>
        </w:tc>
        <w:tc>
          <w:tcPr>
            <w:tcW w:w="700" w:type="dxa"/>
            <w:tcMar>
              <w:top w:w="0" w:type="dxa"/>
              <w:bottom w:w="0" w:type="dxa"/>
            </w:tcMar>
            <w:vAlign w:val="center"/>
          </w:tcPr>
          <w:p w14:paraId="06E4412B" w14:textId="77777777" w:rsidR="006E7117" w:rsidRDefault="00000000">
            <w:pPr>
              <w:keepNext/>
              <w:keepLines/>
              <w:spacing w:after="0" w:line="240" w:lineRule="auto"/>
            </w:pPr>
            <w:r>
              <w:rPr>
                <w:sz w:val="18"/>
              </w:rPr>
              <w:t>3213</w:t>
            </w:r>
          </w:p>
        </w:tc>
        <w:tc>
          <w:tcPr>
            <w:tcW w:w="1860" w:type="dxa"/>
            <w:tcMar>
              <w:top w:w="0" w:type="dxa"/>
              <w:bottom w:w="0" w:type="dxa"/>
            </w:tcMar>
            <w:vAlign w:val="center"/>
          </w:tcPr>
          <w:p w14:paraId="7DA4B68E" w14:textId="77777777" w:rsidR="006E7117" w:rsidRDefault="00000000">
            <w:pPr>
              <w:keepNext/>
              <w:keepLines/>
              <w:spacing w:after="0" w:line="240" w:lineRule="auto"/>
              <w:jc w:val="right"/>
            </w:pPr>
            <w:r>
              <w:rPr>
                <w:sz w:val="18"/>
              </w:rPr>
              <w:t>777,67</w:t>
            </w:r>
          </w:p>
        </w:tc>
        <w:tc>
          <w:tcPr>
            <w:tcW w:w="1860" w:type="dxa"/>
            <w:tcMar>
              <w:top w:w="0" w:type="dxa"/>
              <w:bottom w:w="0" w:type="dxa"/>
            </w:tcMar>
            <w:vAlign w:val="center"/>
          </w:tcPr>
          <w:p w14:paraId="32FC5EAC" w14:textId="77777777" w:rsidR="006E7117" w:rsidRDefault="00000000">
            <w:pPr>
              <w:keepNext/>
              <w:keepLines/>
              <w:spacing w:after="0" w:line="240" w:lineRule="auto"/>
              <w:jc w:val="right"/>
            </w:pPr>
            <w:r>
              <w:rPr>
                <w:sz w:val="18"/>
              </w:rPr>
              <w:t>2.810,00</w:t>
            </w:r>
          </w:p>
        </w:tc>
        <w:tc>
          <w:tcPr>
            <w:tcW w:w="700" w:type="dxa"/>
            <w:tcMar>
              <w:top w:w="0" w:type="dxa"/>
              <w:bottom w:w="0" w:type="dxa"/>
            </w:tcMar>
            <w:vAlign w:val="center"/>
          </w:tcPr>
          <w:p w14:paraId="16C8B458" w14:textId="77777777" w:rsidR="006E7117" w:rsidRDefault="00000000">
            <w:pPr>
              <w:keepNext/>
              <w:keepLines/>
              <w:spacing w:after="0" w:line="240" w:lineRule="auto"/>
              <w:jc w:val="right"/>
            </w:pPr>
            <w:r>
              <w:rPr>
                <w:sz w:val="18"/>
              </w:rPr>
              <w:t>361,3</w:t>
            </w:r>
          </w:p>
        </w:tc>
      </w:tr>
    </w:tbl>
    <w:p w14:paraId="28CD4549" w14:textId="77777777" w:rsidR="006E7117" w:rsidRDefault="006E7117">
      <w:pPr>
        <w:spacing w:after="0"/>
      </w:pPr>
    </w:p>
    <w:p w14:paraId="65E7C28E" w14:textId="77777777" w:rsidR="006E7117" w:rsidRDefault="00000000">
      <w:pPr>
        <w:spacing w:line="240" w:lineRule="auto"/>
        <w:jc w:val="both"/>
      </w:pPr>
      <w:r>
        <w:t>Značajan rast odnosi se na rashod stručnog usavršavanja djelatnika GMV-a u Ljubljani.</w:t>
      </w:r>
    </w:p>
    <w:p w14:paraId="071FB4E8" w14:textId="77777777" w:rsidR="006E7117" w:rsidRDefault="006E7117"/>
    <w:p w14:paraId="666BCA4C" w14:textId="77777777" w:rsidR="006E7117"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2B55AF3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03CB148"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369F1AB"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2691725"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4A9C11B"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F61FA68"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CD03A35" w14:textId="77777777" w:rsidR="006E7117" w:rsidRDefault="00000000">
            <w:pPr>
              <w:keepNext/>
              <w:keepLines/>
              <w:spacing w:after="0" w:line="240" w:lineRule="auto"/>
              <w:jc w:val="center"/>
            </w:pPr>
            <w:r>
              <w:rPr>
                <w:b/>
                <w:sz w:val="18"/>
              </w:rPr>
              <w:t>Indeks (%)</w:t>
            </w:r>
          </w:p>
        </w:tc>
      </w:tr>
      <w:tr w:rsidR="006E7117" w14:paraId="59BC536F" w14:textId="77777777">
        <w:tblPrEx>
          <w:tblCellMar>
            <w:top w:w="0" w:type="dxa"/>
            <w:bottom w:w="0" w:type="dxa"/>
          </w:tblCellMar>
        </w:tblPrEx>
        <w:trPr>
          <w:cantSplit/>
          <w:trHeight w:val="560"/>
        </w:trPr>
        <w:tc>
          <w:tcPr>
            <w:tcW w:w="700" w:type="dxa"/>
            <w:tcMar>
              <w:top w:w="0" w:type="dxa"/>
              <w:bottom w:w="0" w:type="dxa"/>
            </w:tcMar>
            <w:vAlign w:val="center"/>
          </w:tcPr>
          <w:p w14:paraId="1130828B" w14:textId="77777777" w:rsidR="006E7117" w:rsidRDefault="00000000">
            <w:pPr>
              <w:keepNext/>
              <w:keepLines/>
              <w:spacing w:after="0" w:line="240" w:lineRule="auto"/>
            </w:pPr>
            <w:r>
              <w:rPr>
                <w:sz w:val="18"/>
              </w:rPr>
              <w:t>3231</w:t>
            </w:r>
          </w:p>
        </w:tc>
        <w:tc>
          <w:tcPr>
            <w:tcW w:w="3180" w:type="dxa"/>
            <w:tcMar>
              <w:top w:w="0" w:type="dxa"/>
              <w:bottom w:w="0" w:type="dxa"/>
            </w:tcMar>
            <w:vAlign w:val="center"/>
          </w:tcPr>
          <w:p w14:paraId="0D0CB7A3" w14:textId="77777777" w:rsidR="006E7117" w:rsidRDefault="00000000">
            <w:pPr>
              <w:keepNext/>
              <w:keepLines/>
              <w:spacing w:after="0" w:line="240" w:lineRule="auto"/>
            </w:pPr>
            <w:r>
              <w:rPr>
                <w:sz w:val="18"/>
              </w:rPr>
              <w:t>Usluge telefona, interneta, pošte i prijevoza</w:t>
            </w:r>
          </w:p>
        </w:tc>
        <w:tc>
          <w:tcPr>
            <w:tcW w:w="700" w:type="dxa"/>
            <w:tcMar>
              <w:top w:w="0" w:type="dxa"/>
              <w:bottom w:w="0" w:type="dxa"/>
            </w:tcMar>
            <w:vAlign w:val="center"/>
          </w:tcPr>
          <w:p w14:paraId="3BED90FA" w14:textId="77777777" w:rsidR="006E7117" w:rsidRDefault="00000000">
            <w:pPr>
              <w:keepNext/>
              <w:keepLines/>
              <w:spacing w:after="0" w:line="240" w:lineRule="auto"/>
            </w:pPr>
            <w:r>
              <w:rPr>
                <w:sz w:val="18"/>
              </w:rPr>
              <w:t>3231</w:t>
            </w:r>
          </w:p>
        </w:tc>
        <w:tc>
          <w:tcPr>
            <w:tcW w:w="1860" w:type="dxa"/>
            <w:tcMar>
              <w:top w:w="0" w:type="dxa"/>
              <w:bottom w:w="0" w:type="dxa"/>
            </w:tcMar>
            <w:vAlign w:val="center"/>
          </w:tcPr>
          <w:p w14:paraId="23DF9978" w14:textId="77777777" w:rsidR="006E7117" w:rsidRDefault="00000000">
            <w:pPr>
              <w:keepNext/>
              <w:keepLines/>
              <w:spacing w:after="0" w:line="240" w:lineRule="auto"/>
              <w:jc w:val="right"/>
            </w:pPr>
            <w:r>
              <w:rPr>
                <w:sz w:val="18"/>
              </w:rPr>
              <w:t>6.692,69</w:t>
            </w:r>
          </w:p>
        </w:tc>
        <w:tc>
          <w:tcPr>
            <w:tcW w:w="1860" w:type="dxa"/>
            <w:tcMar>
              <w:top w:w="0" w:type="dxa"/>
              <w:bottom w:w="0" w:type="dxa"/>
            </w:tcMar>
            <w:vAlign w:val="center"/>
          </w:tcPr>
          <w:p w14:paraId="540F517B" w14:textId="77777777" w:rsidR="006E7117" w:rsidRDefault="00000000">
            <w:pPr>
              <w:keepNext/>
              <w:keepLines/>
              <w:spacing w:after="0" w:line="240" w:lineRule="auto"/>
              <w:jc w:val="right"/>
            </w:pPr>
            <w:r>
              <w:rPr>
                <w:sz w:val="18"/>
              </w:rPr>
              <w:t>17.709,54</w:t>
            </w:r>
          </w:p>
        </w:tc>
        <w:tc>
          <w:tcPr>
            <w:tcW w:w="700" w:type="dxa"/>
            <w:tcMar>
              <w:top w:w="0" w:type="dxa"/>
              <w:bottom w:w="0" w:type="dxa"/>
            </w:tcMar>
            <w:vAlign w:val="center"/>
          </w:tcPr>
          <w:p w14:paraId="6AB5C10F" w14:textId="77777777" w:rsidR="006E7117" w:rsidRDefault="00000000">
            <w:pPr>
              <w:keepNext/>
              <w:keepLines/>
              <w:spacing w:after="0" w:line="240" w:lineRule="auto"/>
              <w:jc w:val="right"/>
            </w:pPr>
            <w:r>
              <w:rPr>
                <w:sz w:val="18"/>
              </w:rPr>
              <w:t>264,6</w:t>
            </w:r>
          </w:p>
        </w:tc>
      </w:tr>
    </w:tbl>
    <w:p w14:paraId="28D9B440" w14:textId="77777777" w:rsidR="006E7117" w:rsidRDefault="006E7117">
      <w:pPr>
        <w:spacing w:after="0"/>
      </w:pPr>
    </w:p>
    <w:p w14:paraId="42E4B672" w14:textId="77777777" w:rsidR="006E7117" w:rsidRDefault="00000000">
      <w:pPr>
        <w:spacing w:line="240" w:lineRule="auto"/>
        <w:jc w:val="both"/>
      </w:pPr>
      <w:r>
        <w:t xml:space="preserve">Veći rashodi odnose se na troškove prijevoza slika za izložbu A. B. Švaljek iz Mostara, Zadra i </w:t>
      </w:r>
      <w:proofErr w:type="spellStart"/>
      <w:r>
        <w:t>Brisela</w:t>
      </w:r>
      <w:proofErr w:type="spellEnd"/>
      <w:r>
        <w:t>.</w:t>
      </w:r>
    </w:p>
    <w:p w14:paraId="5B37F9EC" w14:textId="77777777" w:rsidR="006E7117" w:rsidRDefault="006E7117"/>
    <w:p w14:paraId="0D7BA9A8" w14:textId="77777777" w:rsidR="006E7117" w:rsidRDefault="00000000">
      <w:pPr>
        <w:keepNext/>
        <w:spacing w:line="240" w:lineRule="auto"/>
        <w:jc w:val="center"/>
      </w:pPr>
      <w:r>
        <w:rPr>
          <w:sz w:val="28"/>
        </w:rPr>
        <w:lastRenderedPageBreak/>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04735A7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C283A1E"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E4A718F"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8F33A90"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61A8853"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2EC7BBE"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5540C95" w14:textId="77777777" w:rsidR="006E7117" w:rsidRDefault="00000000">
            <w:pPr>
              <w:keepNext/>
              <w:keepLines/>
              <w:spacing w:after="0" w:line="240" w:lineRule="auto"/>
              <w:jc w:val="center"/>
            </w:pPr>
            <w:r>
              <w:rPr>
                <w:b/>
                <w:sz w:val="18"/>
              </w:rPr>
              <w:t>Indeks (%)</w:t>
            </w:r>
          </w:p>
        </w:tc>
      </w:tr>
      <w:tr w:rsidR="006E7117" w14:paraId="2E2BC581" w14:textId="77777777">
        <w:tblPrEx>
          <w:tblCellMar>
            <w:top w:w="0" w:type="dxa"/>
            <w:bottom w:w="0" w:type="dxa"/>
          </w:tblCellMar>
        </w:tblPrEx>
        <w:trPr>
          <w:cantSplit/>
          <w:trHeight w:val="560"/>
        </w:trPr>
        <w:tc>
          <w:tcPr>
            <w:tcW w:w="700" w:type="dxa"/>
            <w:tcMar>
              <w:top w:w="0" w:type="dxa"/>
              <w:bottom w:w="0" w:type="dxa"/>
            </w:tcMar>
            <w:vAlign w:val="center"/>
          </w:tcPr>
          <w:p w14:paraId="586252C2" w14:textId="77777777" w:rsidR="006E7117" w:rsidRDefault="00000000">
            <w:pPr>
              <w:keepNext/>
              <w:keepLines/>
              <w:spacing w:after="0" w:line="240" w:lineRule="auto"/>
            </w:pPr>
            <w:r>
              <w:rPr>
                <w:sz w:val="18"/>
              </w:rPr>
              <w:t>3232</w:t>
            </w:r>
          </w:p>
        </w:tc>
        <w:tc>
          <w:tcPr>
            <w:tcW w:w="3180" w:type="dxa"/>
            <w:tcMar>
              <w:top w:w="0" w:type="dxa"/>
              <w:bottom w:w="0" w:type="dxa"/>
            </w:tcMar>
            <w:vAlign w:val="center"/>
          </w:tcPr>
          <w:p w14:paraId="4F0DB9E9" w14:textId="77777777" w:rsidR="006E7117" w:rsidRDefault="00000000">
            <w:pPr>
              <w:keepNext/>
              <w:keepLines/>
              <w:spacing w:after="0" w:line="240" w:lineRule="auto"/>
            </w:pPr>
            <w:r>
              <w:rPr>
                <w:sz w:val="18"/>
              </w:rPr>
              <w:t>Usluge tekućeg i investicijskog održavanja</w:t>
            </w:r>
          </w:p>
        </w:tc>
        <w:tc>
          <w:tcPr>
            <w:tcW w:w="700" w:type="dxa"/>
            <w:tcMar>
              <w:top w:w="0" w:type="dxa"/>
              <w:bottom w:w="0" w:type="dxa"/>
            </w:tcMar>
            <w:vAlign w:val="center"/>
          </w:tcPr>
          <w:p w14:paraId="5CA20CE3" w14:textId="77777777" w:rsidR="006E7117" w:rsidRDefault="00000000">
            <w:pPr>
              <w:keepNext/>
              <w:keepLines/>
              <w:spacing w:after="0" w:line="240" w:lineRule="auto"/>
            </w:pPr>
            <w:r>
              <w:rPr>
                <w:sz w:val="18"/>
              </w:rPr>
              <w:t>3232</w:t>
            </w:r>
          </w:p>
        </w:tc>
        <w:tc>
          <w:tcPr>
            <w:tcW w:w="1860" w:type="dxa"/>
            <w:tcMar>
              <w:top w:w="0" w:type="dxa"/>
              <w:bottom w:w="0" w:type="dxa"/>
            </w:tcMar>
            <w:vAlign w:val="center"/>
          </w:tcPr>
          <w:p w14:paraId="4FD55A39" w14:textId="77777777" w:rsidR="006E7117" w:rsidRDefault="00000000">
            <w:pPr>
              <w:keepNext/>
              <w:keepLines/>
              <w:spacing w:after="0" w:line="240" w:lineRule="auto"/>
              <w:jc w:val="right"/>
            </w:pPr>
            <w:r>
              <w:rPr>
                <w:sz w:val="18"/>
              </w:rPr>
              <w:t>23.796,00</w:t>
            </w:r>
          </w:p>
        </w:tc>
        <w:tc>
          <w:tcPr>
            <w:tcW w:w="1860" w:type="dxa"/>
            <w:tcMar>
              <w:top w:w="0" w:type="dxa"/>
              <w:bottom w:w="0" w:type="dxa"/>
            </w:tcMar>
            <w:vAlign w:val="center"/>
          </w:tcPr>
          <w:p w14:paraId="46F31CEA" w14:textId="77777777" w:rsidR="006E7117" w:rsidRDefault="00000000">
            <w:pPr>
              <w:keepNext/>
              <w:keepLines/>
              <w:spacing w:after="0" w:line="240" w:lineRule="auto"/>
              <w:jc w:val="right"/>
            </w:pPr>
            <w:r>
              <w:rPr>
                <w:sz w:val="18"/>
              </w:rPr>
              <w:t>41.163,75</w:t>
            </w:r>
          </w:p>
        </w:tc>
        <w:tc>
          <w:tcPr>
            <w:tcW w:w="700" w:type="dxa"/>
            <w:tcMar>
              <w:top w:w="0" w:type="dxa"/>
              <w:bottom w:w="0" w:type="dxa"/>
            </w:tcMar>
            <w:vAlign w:val="center"/>
          </w:tcPr>
          <w:p w14:paraId="77A91F89" w14:textId="77777777" w:rsidR="006E7117" w:rsidRDefault="00000000">
            <w:pPr>
              <w:keepNext/>
              <w:keepLines/>
              <w:spacing w:after="0" w:line="240" w:lineRule="auto"/>
              <w:jc w:val="right"/>
            </w:pPr>
            <w:r>
              <w:rPr>
                <w:sz w:val="18"/>
              </w:rPr>
              <w:t>173,0</w:t>
            </w:r>
          </w:p>
        </w:tc>
      </w:tr>
    </w:tbl>
    <w:p w14:paraId="6044ADB8" w14:textId="77777777" w:rsidR="006E7117" w:rsidRDefault="006E7117">
      <w:pPr>
        <w:spacing w:after="0"/>
      </w:pPr>
    </w:p>
    <w:p w14:paraId="45C94D1A" w14:textId="77777777" w:rsidR="006E7117" w:rsidRDefault="00000000">
      <w:pPr>
        <w:spacing w:line="240" w:lineRule="auto"/>
        <w:jc w:val="both"/>
      </w:pPr>
      <w:r>
        <w:t xml:space="preserve">Tijekom prvih šest mjeseci 2025. godine izvršeni su radovi na zamjeni sustava vatrodojave u palači </w:t>
      </w:r>
      <w:proofErr w:type="spellStart"/>
      <w:r>
        <w:t>Herzer</w:t>
      </w:r>
      <w:proofErr w:type="spellEnd"/>
      <w:r>
        <w:t xml:space="preserve">, soboslikarski radovi u palači </w:t>
      </w:r>
      <w:proofErr w:type="spellStart"/>
      <w:r>
        <w:t>Sermage</w:t>
      </w:r>
      <w:proofErr w:type="spellEnd"/>
      <w:r>
        <w:t xml:space="preserve">, </w:t>
      </w:r>
      <w:proofErr w:type="spellStart"/>
      <w:r>
        <w:t>Patačić</w:t>
      </w:r>
      <w:proofErr w:type="spellEnd"/>
      <w:r>
        <w:t xml:space="preserve"> i </w:t>
      </w:r>
      <w:proofErr w:type="spellStart"/>
      <w:r>
        <w:t>Herzer</w:t>
      </w:r>
      <w:proofErr w:type="spellEnd"/>
      <w:r>
        <w:t xml:space="preserve">, elektroinstalaterski radovi u palači </w:t>
      </w:r>
      <w:proofErr w:type="spellStart"/>
      <w:r>
        <w:t>Patačić</w:t>
      </w:r>
      <w:proofErr w:type="spellEnd"/>
      <w:r>
        <w:t xml:space="preserve">, radovi na dizalu u palači </w:t>
      </w:r>
      <w:proofErr w:type="spellStart"/>
      <w:r>
        <w:t>Herzer</w:t>
      </w:r>
      <w:proofErr w:type="spellEnd"/>
      <w:r>
        <w:t xml:space="preserve"> i servis rasvjete te prilagodba iste za izložbu 1925.</w:t>
      </w:r>
    </w:p>
    <w:p w14:paraId="569FAF71" w14:textId="77777777" w:rsidR="006E7117" w:rsidRDefault="006E7117"/>
    <w:p w14:paraId="471A6974" w14:textId="77777777" w:rsidR="006E7117"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598A563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B4C5417"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A42E51A"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35BDBC2"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60A55A0"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583C527"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B2F1D77" w14:textId="77777777" w:rsidR="006E7117" w:rsidRDefault="00000000">
            <w:pPr>
              <w:keepNext/>
              <w:keepLines/>
              <w:spacing w:after="0" w:line="240" w:lineRule="auto"/>
              <w:jc w:val="center"/>
            </w:pPr>
            <w:r>
              <w:rPr>
                <w:b/>
                <w:sz w:val="18"/>
              </w:rPr>
              <w:t>Indeks (%)</w:t>
            </w:r>
          </w:p>
        </w:tc>
      </w:tr>
      <w:tr w:rsidR="006E7117" w14:paraId="1E497FFF" w14:textId="77777777">
        <w:tblPrEx>
          <w:tblCellMar>
            <w:top w:w="0" w:type="dxa"/>
            <w:bottom w:w="0" w:type="dxa"/>
          </w:tblCellMar>
        </w:tblPrEx>
        <w:trPr>
          <w:cantSplit/>
          <w:trHeight w:val="560"/>
        </w:trPr>
        <w:tc>
          <w:tcPr>
            <w:tcW w:w="700" w:type="dxa"/>
            <w:tcMar>
              <w:top w:w="0" w:type="dxa"/>
              <w:bottom w:w="0" w:type="dxa"/>
            </w:tcMar>
            <w:vAlign w:val="center"/>
          </w:tcPr>
          <w:p w14:paraId="2B19684C" w14:textId="77777777" w:rsidR="006E7117" w:rsidRDefault="00000000">
            <w:pPr>
              <w:keepNext/>
              <w:keepLines/>
              <w:spacing w:after="0" w:line="240" w:lineRule="auto"/>
            </w:pPr>
            <w:r>
              <w:rPr>
                <w:sz w:val="18"/>
              </w:rPr>
              <w:t>3233</w:t>
            </w:r>
          </w:p>
        </w:tc>
        <w:tc>
          <w:tcPr>
            <w:tcW w:w="3180" w:type="dxa"/>
            <w:tcMar>
              <w:top w:w="0" w:type="dxa"/>
              <w:bottom w:w="0" w:type="dxa"/>
            </w:tcMar>
            <w:vAlign w:val="center"/>
          </w:tcPr>
          <w:p w14:paraId="08C304ED" w14:textId="77777777" w:rsidR="006E7117" w:rsidRDefault="00000000">
            <w:pPr>
              <w:keepNext/>
              <w:keepLines/>
              <w:spacing w:after="0" w:line="240" w:lineRule="auto"/>
            </w:pPr>
            <w:r>
              <w:rPr>
                <w:sz w:val="18"/>
              </w:rPr>
              <w:t>Usluge promidžbe i informiranja</w:t>
            </w:r>
          </w:p>
        </w:tc>
        <w:tc>
          <w:tcPr>
            <w:tcW w:w="700" w:type="dxa"/>
            <w:tcMar>
              <w:top w:w="0" w:type="dxa"/>
              <w:bottom w:w="0" w:type="dxa"/>
            </w:tcMar>
            <w:vAlign w:val="center"/>
          </w:tcPr>
          <w:p w14:paraId="3CA0BF5B" w14:textId="77777777" w:rsidR="006E7117" w:rsidRDefault="00000000">
            <w:pPr>
              <w:keepNext/>
              <w:keepLines/>
              <w:spacing w:after="0" w:line="240" w:lineRule="auto"/>
            </w:pPr>
            <w:r>
              <w:rPr>
                <w:sz w:val="18"/>
              </w:rPr>
              <w:t>3233</w:t>
            </w:r>
          </w:p>
        </w:tc>
        <w:tc>
          <w:tcPr>
            <w:tcW w:w="1860" w:type="dxa"/>
            <w:tcMar>
              <w:top w:w="0" w:type="dxa"/>
              <w:bottom w:w="0" w:type="dxa"/>
            </w:tcMar>
            <w:vAlign w:val="center"/>
          </w:tcPr>
          <w:p w14:paraId="7DD9D5EE" w14:textId="77777777" w:rsidR="006E7117" w:rsidRDefault="00000000">
            <w:pPr>
              <w:keepNext/>
              <w:keepLines/>
              <w:spacing w:after="0" w:line="240" w:lineRule="auto"/>
              <w:jc w:val="right"/>
            </w:pPr>
            <w:r>
              <w:rPr>
                <w:sz w:val="18"/>
              </w:rPr>
              <w:t>3.989,86</w:t>
            </w:r>
          </w:p>
        </w:tc>
        <w:tc>
          <w:tcPr>
            <w:tcW w:w="1860" w:type="dxa"/>
            <w:tcMar>
              <w:top w:w="0" w:type="dxa"/>
              <w:bottom w:w="0" w:type="dxa"/>
            </w:tcMar>
            <w:vAlign w:val="center"/>
          </w:tcPr>
          <w:p w14:paraId="28F0FD6E" w14:textId="77777777" w:rsidR="006E7117" w:rsidRDefault="00000000">
            <w:pPr>
              <w:keepNext/>
              <w:keepLines/>
              <w:spacing w:after="0" w:line="240" w:lineRule="auto"/>
              <w:jc w:val="right"/>
            </w:pPr>
            <w:r>
              <w:rPr>
                <w:sz w:val="18"/>
              </w:rPr>
              <w:t>12.275,82</w:t>
            </w:r>
          </w:p>
        </w:tc>
        <w:tc>
          <w:tcPr>
            <w:tcW w:w="700" w:type="dxa"/>
            <w:tcMar>
              <w:top w:w="0" w:type="dxa"/>
              <w:bottom w:w="0" w:type="dxa"/>
            </w:tcMar>
            <w:vAlign w:val="center"/>
          </w:tcPr>
          <w:p w14:paraId="40372314" w14:textId="77777777" w:rsidR="006E7117" w:rsidRDefault="00000000">
            <w:pPr>
              <w:keepNext/>
              <w:keepLines/>
              <w:spacing w:after="0" w:line="240" w:lineRule="auto"/>
              <w:jc w:val="right"/>
            </w:pPr>
            <w:r>
              <w:rPr>
                <w:sz w:val="18"/>
              </w:rPr>
              <w:t>307,7</w:t>
            </w:r>
          </w:p>
        </w:tc>
      </w:tr>
    </w:tbl>
    <w:p w14:paraId="04C0294A" w14:textId="77777777" w:rsidR="006E7117" w:rsidRDefault="006E7117">
      <w:pPr>
        <w:spacing w:after="0"/>
      </w:pPr>
    </w:p>
    <w:p w14:paraId="5AFCB294" w14:textId="77777777" w:rsidR="006E7117" w:rsidRDefault="00000000">
      <w:pPr>
        <w:spacing w:line="240" w:lineRule="auto"/>
        <w:jc w:val="both"/>
      </w:pPr>
      <w:r>
        <w:t xml:space="preserve">Na značajan rast rashoda utjecalo je sljedeće: u sklopu kvartovskih priča u svrhu promidžbe izdana je knjiga </w:t>
      </w:r>
      <w:proofErr w:type="spellStart"/>
      <w:r>
        <w:t>Banfica</w:t>
      </w:r>
      <w:proofErr w:type="spellEnd"/>
      <w:r>
        <w:t xml:space="preserve">, autorice </w:t>
      </w:r>
      <w:proofErr w:type="spellStart"/>
      <w:r>
        <w:t>A.Žigić</w:t>
      </w:r>
      <w:proofErr w:type="spellEnd"/>
      <w:r>
        <w:t xml:space="preserve"> Dolenec,  zbog zapošljavanja plaćeni su javni oglasi u novinama vezano uz natječaj za zapošljavanje, promidžba izložbe 1925., A.B. Švaljek i ostale izložbe i manifestacije koje su otvorene i realizirane tijekom prvih šest mjeseci.</w:t>
      </w:r>
    </w:p>
    <w:p w14:paraId="2B5BC889" w14:textId="77777777" w:rsidR="006E7117" w:rsidRDefault="006E7117"/>
    <w:p w14:paraId="7B28F167" w14:textId="77777777" w:rsidR="006E7117"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0285075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CC2011D"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9B1A9BF"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FC9FA19"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28C78A2"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1FCB9BD"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76E6E2A" w14:textId="77777777" w:rsidR="006E7117" w:rsidRDefault="00000000">
            <w:pPr>
              <w:keepNext/>
              <w:keepLines/>
              <w:spacing w:after="0" w:line="240" w:lineRule="auto"/>
              <w:jc w:val="center"/>
            </w:pPr>
            <w:r>
              <w:rPr>
                <w:b/>
                <w:sz w:val="18"/>
              </w:rPr>
              <w:t>Indeks (%)</w:t>
            </w:r>
          </w:p>
        </w:tc>
      </w:tr>
      <w:tr w:rsidR="006E7117" w14:paraId="16FCE3D3" w14:textId="77777777">
        <w:tblPrEx>
          <w:tblCellMar>
            <w:top w:w="0" w:type="dxa"/>
            <w:bottom w:w="0" w:type="dxa"/>
          </w:tblCellMar>
        </w:tblPrEx>
        <w:trPr>
          <w:cantSplit/>
          <w:trHeight w:val="560"/>
        </w:trPr>
        <w:tc>
          <w:tcPr>
            <w:tcW w:w="700" w:type="dxa"/>
            <w:tcMar>
              <w:top w:w="0" w:type="dxa"/>
              <w:bottom w:w="0" w:type="dxa"/>
            </w:tcMar>
            <w:vAlign w:val="center"/>
          </w:tcPr>
          <w:p w14:paraId="447681E5" w14:textId="77777777" w:rsidR="006E7117" w:rsidRDefault="00000000">
            <w:pPr>
              <w:keepNext/>
              <w:keepLines/>
              <w:spacing w:after="0" w:line="240" w:lineRule="auto"/>
            </w:pPr>
            <w:r>
              <w:rPr>
                <w:sz w:val="18"/>
              </w:rPr>
              <w:t>3234</w:t>
            </w:r>
          </w:p>
        </w:tc>
        <w:tc>
          <w:tcPr>
            <w:tcW w:w="3180" w:type="dxa"/>
            <w:tcMar>
              <w:top w:w="0" w:type="dxa"/>
              <w:bottom w:w="0" w:type="dxa"/>
            </w:tcMar>
            <w:vAlign w:val="center"/>
          </w:tcPr>
          <w:p w14:paraId="11621560" w14:textId="77777777" w:rsidR="006E7117" w:rsidRDefault="00000000">
            <w:pPr>
              <w:keepNext/>
              <w:keepLines/>
              <w:spacing w:after="0" w:line="240" w:lineRule="auto"/>
            </w:pPr>
            <w:r>
              <w:rPr>
                <w:sz w:val="18"/>
              </w:rPr>
              <w:t>Komunalne usluge</w:t>
            </w:r>
          </w:p>
        </w:tc>
        <w:tc>
          <w:tcPr>
            <w:tcW w:w="700" w:type="dxa"/>
            <w:tcMar>
              <w:top w:w="0" w:type="dxa"/>
              <w:bottom w:w="0" w:type="dxa"/>
            </w:tcMar>
            <w:vAlign w:val="center"/>
          </w:tcPr>
          <w:p w14:paraId="7ADAAC8F" w14:textId="77777777" w:rsidR="006E7117" w:rsidRDefault="00000000">
            <w:pPr>
              <w:keepNext/>
              <w:keepLines/>
              <w:spacing w:after="0" w:line="240" w:lineRule="auto"/>
            </w:pPr>
            <w:r>
              <w:rPr>
                <w:sz w:val="18"/>
              </w:rPr>
              <w:t>3234</w:t>
            </w:r>
          </w:p>
        </w:tc>
        <w:tc>
          <w:tcPr>
            <w:tcW w:w="1860" w:type="dxa"/>
            <w:tcMar>
              <w:top w:w="0" w:type="dxa"/>
              <w:bottom w:w="0" w:type="dxa"/>
            </w:tcMar>
            <w:vAlign w:val="center"/>
          </w:tcPr>
          <w:p w14:paraId="321ADBFE" w14:textId="77777777" w:rsidR="006E7117" w:rsidRDefault="00000000">
            <w:pPr>
              <w:keepNext/>
              <w:keepLines/>
              <w:spacing w:after="0" w:line="240" w:lineRule="auto"/>
              <w:jc w:val="right"/>
            </w:pPr>
            <w:r>
              <w:rPr>
                <w:sz w:val="18"/>
              </w:rPr>
              <w:t>1.690,97</w:t>
            </w:r>
          </w:p>
        </w:tc>
        <w:tc>
          <w:tcPr>
            <w:tcW w:w="1860" w:type="dxa"/>
            <w:tcMar>
              <w:top w:w="0" w:type="dxa"/>
              <w:bottom w:w="0" w:type="dxa"/>
            </w:tcMar>
            <w:vAlign w:val="center"/>
          </w:tcPr>
          <w:p w14:paraId="4B76646F" w14:textId="77777777" w:rsidR="006E7117" w:rsidRDefault="00000000">
            <w:pPr>
              <w:keepNext/>
              <w:keepLines/>
              <w:spacing w:after="0" w:line="240" w:lineRule="auto"/>
              <w:jc w:val="right"/>
            </w:pPr>
            <w:r>
              <w:rPr>
                <w:sz w:val="18"/>
              </w:rPr>
              <w:t>3.732,24</w:t>
            </w:r>
          </w:p>
        </w:tc>
        <w:tc>
          <w:tcPr>
            <w:tcW w:w="700" w:type="dxa"/>
            <w:tcMar>
              <w:top w:w="0" w:type="dxa"/>
              <w:bottom w:w="0" w:type="dxa"/>
            </w:tcMar>
            <w:vAlign w:val="center"/>
          </w:tcPr>
          <w:p w14:paraId="17F7C2E7" w14:textId="77777777" w:rsidR="006E7117" w:rsidRDefault="00000000">
            <w:pPr>
              <w:keepNext/>
              <w:keepLines/>
              <w:spacing w:after="0" w:line="240" w:lineRule="auto"/>
              <w:jc w:val="right"/>
            </w:pPr>
            <w:r>
              <w:rPr>
                <w:sz w:val="18"/>
              </w:rPr>
              <w:t>220,7</w:t>
            </w:r>
          </w:p>
        </w:tc>
      </w:tr>
    </w:tbl>
    <w:p w14:paraId="7EBCC933" w14:textId="77777777" w:rsidR="006E7117" w:rsidRDefault="006E7117">
      <w:pPr>
        <w:spacing w:after="0"/>
      </w:pPr>
    </w:p>
    <w:p w14:paraId="2B7FA888" w14:textId="77777777" w:rsidR="006E7117" w:rsidRDefault="00000000">
      <w:pPr>
        <w:spacing w:line="240" w:lineRule="auto"/>
        <w:jc w:val="both"/>
      </w:pPr>
      <w:r>
        <w:t>Rast rashoda u odnosu na isto razdoblje prethodne godine odnosi se na rashode odvoza glomaznog otpada kojih prethodne godine nije bilo.</w:t>
      </w:r>
    </w:p>
    <w:p w14:paraId="5B713EC0" w14:textId="77777777" w:rsidR="006E7117" w:rsidRDefault="006E7117"/>
    <w:p w14:paraId="22812152" w14:textId="77777777" w:rsidR="006E7117"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4D273B1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EE80AE6"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6F6F7AA"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B8813FE"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E73CBF1"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B63C021"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CCE9B43" w14:textId="77777777" w:rsidR="006E7117" w:rsidRDefault="00000000">
            <w:pPr>
              <w:keepNext/>
              <w:keepLines/>
              <w:spacing w:after="0" w:line="240" w:lineRule="auto"/>
              <w:jc w:val="center"/>
            </w:pPr>
            <w:r>
              <w:rPr>
                <w:b/>
                <w:sz w:val="18"/>
              </w:rPr>
              <w:t>Indeks (%)</w:t>
            </w:r>
          </w:p>
        </w:tc>
      </w:tr>
      <w:tr w:rsidR="006E7117" w14:paraId="4B87CC0E" w14:textId="77777777">
        <w:tblPrEx>
          <w:tblCellMar>
            <w:top w:w="0" w:type="dxa"/>
            <w:bottom w:w="0" w:type="dxa"/>
          </w:tblCellMar>
        </w:tblPrEx>
        <w:trPr>
          <w:cantSplit/>
          <w:trHeight w:val="560"/>
        </w:trPr>
        <w:tc>
          <w:tcPr>
            <w:tcW w:w="700" w:type="dxa"/>
            <w:tcMar>
              <w:top w:w="0" w:type="dxa"/>
              <w:bottom w:w="0" w:type="dxa"/>
            </w:tcMar>
            <w:vAlign w:val="center"/>
          </w:tcPr>
          <w:p w14:paraId="7513EFBF" w14:textId="77777777" w:rsidR="006E7117" w:rsidRDefault="00000000">
            <w:pPr>
              <w:keepNext/>
              <w:keepLines/>
              <w:spacing w:after="0" w:line="240" w:lineRule="auto"/>
            </w:pPr>
            <w:r>
              <w:rPr>
                <w:sz w:val="18"/>
              </w:rPr>
              <w:t>3235</w:t>
            </w:r>
          </w:p>
        </w:tc>
        <w:tc>
          <w:tcPr>
            <w:tcW w:w="3180" w:type="dxa"/>
            <w:tcMar>
              <w:top w:w="0" w:type="dxa"/>
              <w:bottom w:w="0" w:type="dxa"/>
            </w:tcMar>
            <w:vAlign w:val="center"/>
          </w:tcPr>
          <w:p w14:paraId="18E16A46" w14:textId="77777777" w:rsidR="006E7117" w:rsidRDefault="00000000">
            <w:pPr>
              <w:keepNext/>
              <w:keepLines/>
              <w:spacing w:after="0" w:line="240" w:lineRule="auto"/>
            </w:pPr>
            <w:r>
              <w:rPr>
                <w:sz w:val="18"/>
              </w:rPr>
              <w:t>Zakupnine i najamnine</w:t>
            </w:r>
          </w:p>
        </w:tc>
        <w:tc>
          <w:tcPr>
            <w:tcW w:w="700" w:type="dxa"/>
            <w:tcMar>
              <w:top w:w="0" w:type="dxa"/>
              <w:bottom w:w="0" w:type="dxa"/>
            </w:tcMar>
            <w:vAlign w:val="center"/>
          </w:tcPr>
          <w:p w14:paraId="1AB6CAE3" w14:textId="77777777" w:rsidR="006E7117" w:rsidRDefault="00000000">
            <w:pPr>
              <w:keepNext/>
              <w:keepLines/>
              <w:spacing w:after="0" w:line="240" w:lineRule="auto"/>
            </w:pPr>
            <w:r>
              <w:rPr>
                <w:sz w:val="18"/>
              </w:rPr>
              <w:t>3235</w:t>
            </w:r>
          </w:p>
        </w:tc>
        <w:tc>
          <w:tcPr>
            <w:tcW w:w="1860" w:type="dxa"/>
            <w:tcMar>
              <w:top w:w="0" w:type="dxa"/>
              <w:bottom w:w="0" w:type="dxa"/>
            </w:tcMar>
            <w:vAlign w:val="center"/>
          </w:tcPr>
          <w:p w14:paraId="71921691" w14:textId="77777777" w:rsidR="006E7117" w:rsidRDefault="00000000">
            <w:pPr>
              <w:keepNext/>
              <w:keepLines/>
              <w:spacing w:after="0" w:line="240" w:lineRule="auto"/>
              <w:jc w:val="right"/>
            </w:pPr>
            <w:r>
              <w:rPr>
                <w:sz w:val="18"/>
              </w:rPr>
              <w:t>3.319,00</w:t>
            </w:r>
          </w:p>
        </w:tc>
        <w:tc>
          <w:tcPr>
            <w:tcW w:w="1860" w:type="dxa"/>
            <w:tcMar>
              <w:top w:w="0" w:type="dxa"/>
              <w:bottom w:w="0" w:type="dxa"/>
            </w:tcMar>
            <w:vAlign w:val="center"/>
          </w:tcPr>
          <w:p w14:paraId="0C78AA0C" w14:textId="77777777" w:rsidR="006E7117" w:rsidRDefault="00000000">
            <w:pPr>
              <w:keepNext/>
              <w:keepLines/>
              <w:spacing w:after="0" w:line="240" w:lineRule="auto"/>
              <w:jc w:val="right"/>
            </w:pPr>
            <w:r>
              <w:rPr>
                <w:sz w:val="18"/>
              </w:rPr>
              <w:t>22.161,05</w:t>
            </w:r>
          </w:p>
        </w:tc>
        <w:tc>
          <w:tcPr>
            <w:tcW w:w="700" w:type="dxa"/>
            <w:tcMar>
              <w:top w:w="0" w:type="dxa"/>
              <w:bottom w:w="0" w:type="dxa"/>
            </w:tcMar>
            <w:vAlign w:val="center"/>
          </w:tcPr>
          <w:p w14:paraId="0C203B18" w14:textId="77777777" w:rsidR="006E7117" w:rsidRDefault="00000000">
            <w:pPr>
              <w:keepNext/>
              <w:keepLines/>
              <w:spacing w:after="0" w:line="240" w:lineRule="auto"/>
              <w:jc w:val="right"/>
            </w:pPr>
            <w:r>
              <w:rPr>
                <w:sz w:val="18"/>
              </w:rPr>
              <w:t>667,7</w:t>
            </w:r>
          </w:p>
        </w:tc>
      </w:tr>
    </w:tbl>
    <w:p w14:paraId="33AC01BD" w14:textId="77777777" w:rsidR="006E7117" w:rsidRDefault="006E7117">
      <w:pPr>
        <w:spacing w:after="0"/>
      </w:pPr>
    </w:p>
    <w:p w14:paraId="68CB8287" w14:textId="77777777" w:rsidR="006E7117" w:rsidRDefault="00000000">
      <w:pPr>
        <w:spacing w:line="240" w:lineRule="auto"/>
        <w:jc w:val="both"/>
      </w:pPr>
      <w:r>
        <w:t>Značajan rast se odnosi na rashode zakupa skladišnog prostora za čuvanje muzejske građe kojih u istom razdoblju prethodne godine nije bilo.</w:t>
      </w:r>
    </w:p>
    <w:p w14:paraId="625B7133" w14:textId="77777777" w:rsidR="006E7117" w:rsidRDefault="006E7117"/>
    <w:p w14:paraId="69128A8A" w14:textId="77777777" w:rsidR="006E7117" w:rsidRDefault="00000000">
      <w:pPr>
        <w:keepNext/>
        <w:spacing w:line="240" w:lineRule="auto"/>
        <w:jc w:val="center"/>
      </w:pPr>
      <w:r>
        <w:rPr>
          <w:sz w:val="28"/>
        </w:rPr>
        <w:lastRenderedPageBreak/>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383D71A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759C83F"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A63D2E2"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29DF236"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061A763"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D5F230F"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5D0D9BA" w14:textId="77777777" w:rsidR="006E7117" w:rsidRDefault="00000000">
            <w:pPr>
              <w:keepNext/>
              <w:keepLines/>
              <w:spacing w:after="0" w:line="240" w:lineRule="auto"/>
              <w:jc w:val="center"/>
            </w:pPr>
            <w:r>
              <w:rPr>
                <w:b/>
                <w:sz w:val="18"/>
              </w:rPr>
              <w:t>Indeks (%)</w:t>
            </w:r>
          </w:p>
        </w:tc>
      </w:tr>
      <w:tr w:rsidR="006E7117" w14:paraId="63EBE09F" w14:textId="77777777">
        <w:tblPrEx>
          <w:tblCellMar>
            <w:top w:w="0" w:type="dxa"/>
            <w:bottom w:w="0" w:type="dxa"/>
          </w:tblCellMar>
        </w:tblPrEx>
        <w:trPr>
          <w:cantSplit/>
          <w:trHeight w:val="560"/>
        </w:trPr>
        <w:tc>
          <w:tcPr>
            <w:tcW w:w="700" w:type="dxa"/>
            <w:tcMar>
              <w:top w:w="0" w:type="dxa"/>
              <w:bottom w:w="0" w:type="dxa"/>
            </w:tcMar>
            <w:vAlign w:val="center"/>
          </w:tcPr>
          <w:p w14:paraId="283D557B" w14:textId="77777777" w:rsidR="006E7117" w:rsidRDefault="00000000">
            <w:pPr>
              <w:keepNext/>
              <w:keepLines/>
              <w:spacing w:after="0" w:line="240" w:lineRule="auto"/>
            </w:pPr>
            <w:r>
              <w:rPr>
                <w:sz w:val="18"/>
              </w:rPr>
              <w:t>3236</w:t>
            </w:r>
          </w:p>
        </w:tc>
        <w:tc>
          <w:tcPr>
            <w:tcW w:w="3180" w:type="dxa"/>
            <w:tcMar>
              <w:top w:w="0" w:type="dxa"/>
              <w:bottom w:w="0" w:type="dxa"/>
            </w:tcMar>
            <w:vAlign w:val="center"/>
          </w:tcPr>
          <w:p w14:paraId="54050C4D" w14:textId="77777777" w:rsidR="006E7117" w:rsidRDefault="00000000">
            <w:pPr>
              <w:keepNext/>
              <w:keepLines/>
              <w:spacing w:after="0" w:line="240" w:lineRule="auto"/>
            </w:pPr>
            <w:r>
              <w:rPr>
                <w:sz w:val="18"/>
              </w:rPr>
              <w:t>Zdravstvene i veterinarske usluge</w:t>
            </w:r>
          </w:p>
        </w:tc>
        <w:tc>
          <w:tcPr>
            <w:tcW w:w="700" w:type="dxa"/>
            <w:tcMar>
              <w:top w:w="0" w:type="dxa"/>
              <w:bottom w:w="0" w:type="dxa"/>
            </w:tcMar>
            <w:vAlign w:val="center"/>
          </w:tcPr>
          <w:p w14:paraId="60B5BDC9" w14:textId="77777777" w:rsidR="006E7117" w:rsidRDefault="00000000">
            <w:pPr>
              <w:keepNext/>
              <w:keepLines/>
              <w:spacing w:after="0" w:line="240" w:lineRule="auto"/>
            </w:pPr>
            <w:r>
              <w:rPr>
                <w:sz w:val="18"/>
              </w:rPr>
              <w:t>3236</w:t>
            </w:r>
          </w:p>
        </w:tc>
        <w:tc>
          <w:tcPr>
            <w:tcW w:w="1860" w:type="dxa"/>
            <w:tcMar>
              <w:top w:w="0" w:type="dxa"/>
              <w:bottom w:w="0" w:type="dxa"/>
            </w:tcMar>
            <w:vAlign w:val="center"/>
          </w:tcPr>
          <w:p w14:paraId="373EC3BA" w14:textId="77777777" w:rsidR="006E7117" w:rsidRDefault="00000000">
            <w:pPr>
              <w:keepNext/>
              <w:keepLines/>
              <w:spacing w:after="0" w:line="240" w:lineRule="auto"/>
              <w:jc w:val="right"/>
            </w:pPr>
            <w:r>
              <w:rPr>
                <w:sz w:val="18"/>
              </w:rPr>
              <w:t>4.000,00</w:t>
            </w:r>
          </w:p>
        </w:tc>
        <w:tc>
          <w:tcPr>
            <w:tcW w:w="1860" w:type="dxa"/>
            <w:tcMar>
              <w:top w:w="0" w:type="dxa"/>
              <w:bottom w:w="0" w:type="dxa"/>
            </w:tcMar>
            <w:vAlign w:val="center"/>
          </w:tcPr>
          <w:p w14:paraId="7DE78C23" w14:textId="77777777" w:rsidR="006E7117" w:rsidRDefault="00000000">
            <w:pPr>
              <w:keepNext/>
              <w:keepLines/>
              <w:spacing w:after="0" w:line="240" w:lineRule="auto"/>
              <w:jc w:val="right"/>
            </w:pPr>
            <w:r>
              <w:rPr>
                <w:sz w:val="18"/>
              </w:rPr>
              <w:t>5.580,00</w:t>
            </w:r>
          </w:p>
        </w:tc>
        <w:tc>
          <w:tcPr>
            <w:tcW w:w="700" w:type="dxa"/>
            <w:tcMar>
              <w:top w:w="0" w:type="dxa"/>
              <w:bottom w:w="0" w:type="dxa"/>
            </w:tcMar>
            <w:vAlign w:val="center"/>
          </w:tcPr>
          <w:p w14:paraId="36F80530" w14:textId="77777777" w:rsidR="006E7117" w:rsidRDefault="00000000">
            <w:pPr>
              <w:keepNext/>
              <w:keepLines/>
              <w:spacing w:after="0" w:line="240" w:lineRule="auto"/>
              <w:jc w:val="right"/>
            </w:pPr>
            <w:r>
              <w:rPr>
                <w:sz w:val="18"/>
              </w:rPr>
              <w:t>139,5</w:t>
            </w:r>
          </w:p>
        </w:tc>
      </w:tr>
    </w:tbl>
    <w:p w14:paraId="6B1519F6" w14:textId="77777777" w:rsidR="006E7117" w:rsidRDefault="006E7117">
      <w:pPr>
        <w:spacing w:after="0"/>
      </w:pPr>
    </w:p>
    <w:p w14:paraId="2391E948" w14:textId="77777777" w:rsidR="006E7117" w:rsidRDefault="00000000">
      <w:pPr>
        <w:spacing w:line="240" w:lineRule="auto"/>
        <w:jc w:val="both"/>
      </w:pPr>
      <w:r>
        <w:t>Navedeni rashod odnosi se na sistematski pregled djelatnika GMV-a.</w:t>
      </w:r>
    </w:p>
    <w:p w14:paraId="2FAF2CD3" w14:textId="77777777" w:rsidR="006E7117" w:rsidRDefault="006E7117"/>
    <w:p w14:paraId="6E5760EF" w14:textId="77777777" w:rsidR="006E7117"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127A93B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92E9933"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BB81469"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FF40D02"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0A3F226"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C8D6F47"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8F2B79A" w14:textId="77777777" w:rsidR="006E7117" w:rsidRDefault="00000000">
            <w:pPr>
              <w:keepNext/>
              <w:keepLines/>
              <w:spacing w:after="0" w:line="240" w:lineRule="auto"/>
              <w:jc w:val="center"/>
            </w:pPr>
            <w:r>
              <w:rPr>
                <w:b/>
                <w:sz w:val="18"/>
              </w:rPr>
              <w:t>Indeks (%)</w:t>
            </w:r>
          </w:p>
        </w:tc>
      </w:tr>
      <w:tr w:rsidR="006E7117" w14:paraId="3BE6D9D5" w14:textId="77777777">
        <w:tblPrEx>
          <w:tblCellMar>
            <w:top w:w="0" w:type="dxa"/>
            <w:bottom w:w="0" w:type="dxa"/>
          </w:tblCellMar>
        </w:tblPrEx>
        <w:trPr>
          <w:cantSplit/>
          <w:trHeight w:val="560"/>
        </w:trPr>
        <w:tc>
          <w:tcPr>
            <w:tcW w:w="700" w:type="dxa"/>
            <w:tcMar>
              <w:top w:w="0" w:type="dxa"/>
              <w:bottom w:w="0" w:type="dxa"/>
            </w:tcMar>
            <w:vAlign w:val="center"/>
          </w:tcPr>
          <w:p w14:paraId="0381CE97" w14:textId="77777777" w:rsidR="006E7117" w:rsidRDefault="00000000">
            <w:pPr>
              <w:keepNext/>
              <w:keepLines/>
              <w:spacing w:after="0" w:line="240" w:lineRule="auto"/>
            </w:pPr>
            <w:r>
              <w:rPr>
                <w:sz w:val="18"/>
              </w:rPr>
              <w:t>3239</w:t>
            </w:r>
          </w:p>
        </w:tc>
        <w:tc>
          <w:tcPr>
            <w:tcW w:w="3180" w:type="dxa"/>
            <w:tcMar>
              <w:top w:w="0" w:type="dxa"/>
              <w:bottom w:w="0" w:type="dxa"/>
            </w:tcMar>
            <w:vAlign w:val="center"/>
          </w:tcPr>
          <w:p w14:paraId="25DF3B0B" w14:textId="77777777" w:rsidR="006E7117" w:rsidRDefault="00000000">
            <w:pPr>
              <w:keepNext/>
              <w:keepLines/>
              <w:spacing w:after="0" w:line="240" w:lineRule="auto"/>
            </w:pPr>
            <w:r>
              <w:rPr>
                <w:sz w:val="18"/>
              </w:rPr>
              <w:t>Ostale usluge</w:t>
            </w:r>
          </w:p>
        </w:tc>
        <w:tc>
          <w:tcPr>
            <w:tcW w:w="700" w:type="dxa"/>
            <w:tcMar>
              <w:top w:w="0" w:type="dxa"/>
              <w:bottom w:w="0" w:type="dxa"/>
            </w:tcMar>
            <w:vAlign w:val="center"/>
          </w:tcPr>
          <w:p w14:paraId="7FE8D3B5" w14:textId="77777777" w:rsidR="006E7117" w:rsidRDefault="00000000">
            <w:pPr>
              <w:keepNext/>
              <w:keepLines/>
              <w:spacing w:after="0" w:line="240" w:lineRule="auto"/>
            </w:pPr>
            <w:r>
              <w:rPr>
                <w:sz w:val="18"/>
              </w:rPr>
              <w:t>3239</w:t>
            </w:r>
          </w:p>
        </w:tc>
        <w:tc>
          <w:tcPr>
            <w:tcW w:w="1860" w:type="dxa"/>
            <w:tcMar>
              <w:top w:w="0" w:type="dxa"/>
              <w:bottom w:w="0" w:type="dxa"/>
            </w:tcMar>
            <w:vAlign w:val="center"/>
          </w:tcPr>
          <w:p w14:paraId="220EC83B" w14:textId="77777777" w:rsidR="006E7117" w:rsidRDefault="00000000">
            <w:pPr>
              <w:keepNext/>
              <w:keepLines/>
              <w:spacing w:after="0" w:line="240" w:lineRule="auto"/>
              <w:jc w:val="right"/>
            </w:pPr>
            <w:r>
              <w:rPr>
                <w:sz w:val="18"/>
              </w:rPr>
              <w:t>34.212,35</w:t>
            </w:r>
          </w:p>
        </w:tc>
        <w:tc>
          <w:tcPr>
            <w:tcW w:w="1860" w:type="dxa"/>
            <w:tcMar>
              <w:top w:w="0" w:type="dxa"/>
              <w:bottom w:w="0" w:type="dxa"/>
            </w:tcMar>
            <w:vAlign w:val="center"/>
          </w:tcPr>
          <w:p w14:paraId="2C24547B" w14:textId="77777777" w:rsidR="006E7117" w:rsidRDefault="00000000">
            <w:pPr>
              <w:keepNext/>
              <w:keepLines/>
              <w:spacing w:after="0" w:line="240" w:lineRule="auto"/>
              <w:jc w:val="right"/>
            </w:pPr>
            <w:r>
              <w:rPr>
                <w:sz w:val="18"/>
              </w:rPr>
              <w:t>43.488,75</w:t>
            </w:r>
          </w:p>
        </w:tc>
        <w:tc>
          <w:tcPr>
            <w:tcW w:w="700" w:type="dxa"/>
            <w:tcMar>
              <w:top w:w="0" w:type="dxa"/>
              <w:bottom w:w="0" w:type="dxa"/>
            </w:tcMar>
            <w:vAlign w:val="center"/>
          </w:tcPr>
          <w:p w14:paraId="08C9AC62" w14:textId="77777777" w:rsidR="006E7117" w:rsidRDefault="00000000">
            <w:pPr>
              <w:keepNext/>
              <w:keepLines/>
              <w:spacing w:after="0" w:line="240" w:lineRule="auto"/>
              <w:jc w:val="right"/>
            </w:pPr>
            <w:r>
              <w:rPr>
                <w:sz w:val="18"/>
              </w:rPr>
              <w:t>127,1</w:t>
            </w:r>
          </w:p>
        </w:tc>
      </w:tr>
    </w:tbl>
    <w:p w14:paraId="223F9CFE" w14:textId="77777777" w:rsidR="006E7117" w:rsidRDefault="006E7117">
      <w:pPr>
        <w:spacing w:after="0"/>
      </w:pPr>
    </w:p>
    <w:p w14:paraId="7D76833A" w14:textId="77777777" w:rsidR="006E7117" w:rsidRDefault="00000000">
      <w:pPr>
        <w:spacing w:line="240" w:lineRule="auto"/>
        <w:jc w:val="both"/>
      </w:pPr>
      <w:r>
        <w:t>Rashodi se odnose na tisak, grafičko oblikovanje i suorganizaciju izložaba i drugih manifestacija.</w:t>
      </w:r>
    </w:p>
    <w:p w14:paraId="469548CC" w14:textId="77777777" w:rsidR="006E7117" w:rsidRDefault="006E7117"/>
    <w:p w14:paraId="68169658" w14:textId="77777777" w:rsidR="006E7117"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21E7EAE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5929ED0"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4E35A2C"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106FDD6"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444C8E4"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DDBBDFA"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213EFEC" w14:textId="77777777" w:rsidR="006E7117" w:rsidRDefault="00000000">
            <w:pPr>
              <w:keepNext/>
              <w:keepLines/>
              <w:spacing w:after="0" w:line="240" w:lineRule="auto"/>
              <w:jc w:val="center"/>
            </w:pPr>
            <w:r>
              <w:rPr>
                <w:b/>
                <w:sz w:val="18"/>
              </w:rPr>
              <w:t>Indeks (%)</w:t>
            </w:r>
          </w:p>
        </w:tc>
      </w:tr>
      <w:tr w:rsidR="006E7117" w14:paraId="0AD5ADFF" w14:textId="77777777">
        <w:tblPrEx>
          <w:tblCellMar>
            <w:top w:w="0" w:type="dxa"/>
            <w:bottom w:w="0" w:type="dxa"/>
          </w:tblCellMar>
        </w:tblPrEx>
        <w:trPr>
          <w:cantSplit/>
          <w:trHeight w:val="560"/>
        </w:trPr>
        <w:tc>
          <w:tcPr>
            <w:tcW w:w="700" w:type="dxa"/>
            <w:tcMar>
              <w:top w:w="0" w:type="dxa"/>
              <w:bottom w:w="0" w:type="dxa"/>
            </w:tcMar>
            <w:vAlign w:val="center"/>
          </w:tcPr>
          <w:p w14:paraId="592A91C7" w14:textId="77777777" w:rsidR="006E7117" w:rsidRDefault="00000000">
            <w:pPr>
              <w:keepNext/>
              <w:keepLines/>
              <w:spacing w:after="0" w:line="240" w:lineRule="auto"/>
            </w:pPr>
            <w:r>
              <w:rPr>
                <w:sz w:val="18"/>
              </w:rPr>
              <w:t>3292</w:t>
            </w:r>
          </w:p>
        </w:tc>
        <w:tc>
          <w:tcPr>
            <w:tcW w:w="3180" w:type="dxa"/>
            <w:tcMar>
              <w:top w:w="0" w:type="dxa"/>
              <w:bottom w:w="0" w:type="dxa"/>
            </w:tcMar>
            <w:vAlign w:val="center"/>
          </w:tcPr>
          <w:p w14:paraId="5127698A" w14:textId="77777777" w:rsidR="006E7117" w:rsidRDefault="00000000">
            <w:pPr>
              <w:keepNext/>
              <w:keepLines/>
              <w:spacing w:after="0" w:line="240" w:lineRule="auto"/>
            </w:pPr>
            <w:r>
              <w:rPr>
                <w:sz w:val="18"/>
              </w:rPr>
              <w:t>Premije osiguranja</w:t>
            </w:r>
          </w:p>
        </w:tc>
        <w:tc>
          <w:tcPr>
            <w:tcW w:w="700" w:type="dxa"/>
            <w:tcMar>
              <w:top w:w="0" w:type="dxa"/>
              <w:bottom w:w="0" w:type="dxa"/>
            </w:tcMar>
            <w:vAlign w:val="center"/>
          </w:tcPr>
          <w:p w14:paraId="7008C2B3" w14:textId="77777777" w:rsidR="006E7117" w:rsidRDefault="00000000">
            <w:pPr>
              <w:keepNext/>
              <w:keepLines/>
              <w:spacing w:after="0" w:line="240" w:lineRule="auto"/>
            </w:pPr>
            <w:r>
              <w:rPr>
                <w:sz w:val="18"/>
              </w:rPr>
              <w:t>3292</w:t>
            </w:r>
          </w:p>
        </w:tc>
        <w:tc>
          <w:tcPr>
            <w:tcW w:w="1860" w:type="dxa"/>
            <w:tcMar>
              <w:top w:w="0" w:type="dxa"/>
              <w:bottom w:w="0" w:type="dxa"/>
            </w:tcMar>
            <w:vAlign w:val="center"/>
          </w:tcPr>
          <w:p w14:paraId="1B2238A0" w14:textId="77777777" w:rsidR="006E7117" w:rsidRDefault="00000000">
            <w:pPr>
              <w:keepNext/>
              <w:keepLines/>
              <w:spacing w:after="0" w:line="240" w:lineRule="auto"/>
              <w:jc w:val="right"/>
            </w:pPr>
            <w:r>
              <w:rPr>
                <w:sz w:val="18"/>
              </w:rPr>
              <w:t>2.160,10</w:t>
            </w:r>
          </w:p>
        </w:tc>
        <w:tc>
          <w:tcPr>
            <w:tcW w:w="1860" w:type="dxa"/>
            <w:tcMar>
              <w:top w:w="0" w:type="dxa"/>
              <w:bottom w:w="0" w:type="dxa"/>
            </w:tcMar>
            <w:vAlign w:val="center"/>
          </w:tcPr>
          <w:p w14:paraId="0AE325AC" w14:textId="77777777" w:rsidR="006E7117" w:rsidRDefault="00000000">
            <w:pPr>
              <w:keepNext/>
              <w:keepLines/>
              <w:spacing w:after="0" w:line="240" w:lineRule="auto"/>
              <w:jc w:val="right"/>
            </w:pPr>
            <w:r>
              <w:rPr>
                <w:sz w:val="18"/>
              </w:rPr>
              <w:t>7.822,14</w:t>
            </w:r>
          </w:p>
        </w:tc>
        <w:tc>
          <w:tcPr>
            <w:tcW w:w="700" w:type="dxa"/>
            <w:tcMar>
              <w:top w:w="0" w:type="dxa"/>
              <w:bottom w:w="0" w:type="dxa"/>
            </w:tcMar>
            <w:vAlign w:val="center"/>
          </w:tcPr>
          <w:p w14:paraId="4728FF44" w14:textId="77777777" w:rsidR="006E7117" w:rsidRDefault="00000000">
            <w:pPr>
              <w:keepNext/>
              <w:keepLines/>
              <w:spacing w:after="0" w:line="240" w:lineRule="auto"/>
              <w:jc w:val="right"/>
            </w:pPr>
            <w:r>
              <w:rPr>
                <w:sz w:val="18"/>
              </w:rPr>
              <w:t>362,1</w:t>
            </w:r>
          </w:p>
        </w:tc>
      </w:tr>
    </w:tbl>
    <w:p w14:paraId="4280BE64" w14:textId="77777777" w:rsidR="006E7117" w:rsidRDefault="006E7117">
      <w:pPr>
        <w:spacing w:after="0"/>
      </w:pPr>
    </w:p>
    <w:p w14:paraId="6014E95A" w14:textId="77777777" w:rsidR="006E7117" w:rsidRDefault="00000000">
      <w:pPr>
        <w:spacing w:line="240" w:lineRule="auto"/>
        <w:jc w:val="both"/>
      </w:pPr>
      <w:r>
        <w:t>Ranijih godina GMV nije imao ugovorenu policu osiguranja imovine pa nije bilo niti navedenih rashoda.</w:t>
      </w:r>
    </w:p>
    <w:p w14:paraId="1D491889" w14:textId="77777777" w:rsidR="006E7117" w:rsidRDefault="006E7117"/>
    <w:p w14:paraId="183EF665" w14:textId="77777777" w:rsidR="006E7117"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39835B3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27F4421"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7656BC0"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8E35C58"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55A93A1"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EDE647A"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4C15FC1" w14:textId="77777777" w:rsidR="006E7117" w:rsidRDefault="00000000">
            <w:pPr>
              <w:keepNext/>
              <w:keepLines/>
              <w:spacing w:after="0" w:line="240" w:lineRule="auto"/>
              <w:jc w:val="center"/>
            </w:pPr>
            <w:r>
              <w:rPr>
                <w:b/>
                <w:sz w:val="18"/>
              </w:rPr>
              <w:t>Indeks (%)</w:t>
            </w:r>
          </w:p>
        </w:tc>
      </w:tr>
      <w:tr w:rsidR="006E7117" w14:paraId="367FB58D" w14:textId="77777777">
        <w:tblPrEx>
          <w:tblCellMar>
            <w:top w:w="0" w:type="dxa"/>
            <w:bottom w:w="0" w:type="dxa"/>
          </w:tblCellMar>
        </w:tblPrEx>
        <w:trPr>
          <w:cantSplit/>
          <w:trHeight w:val="560"/>
        </w:trPr>
        <w:tc>
          <w:tcPr>
            <w:tcW w:w="700" w:type="dxa"/>
            <w:tcMar>
              <w:top w:w="0" w:type="dxa"/>
              <w:bottom w:w="0" w:type="dxa"/>
            </w:tcMar>
            <w:vAlign w:val="center"/>
          </w:tcPr>
          <w:p w14:paraId="7F4FEAD4" w14:textId="77777777" w:rsidR="006E7117" w:rsidRDefault="00000000">
            <w:pPr>
              <w:keepNext/>
              <w:keepLines/>
              <w:spacing w:after="0" w:line="240" w:lineRule="auto"/>
            </w:pPr>
            <w:r>
              <w:rPr>
                <w:sz w:val="18"/>
              </w:rPr>
              <w:t>3293</w:t>
            </w:r>
          </w:p>
        </w:tc>
        <w:tc>
          <w:tcPr>
            <w:tcW w:w="3180" w:type="dxa"/>
            <w:tcMar>
              <w:top w:w="0" w:type="dxa"/>
              <w:bottom w:w="0" w:type="dxa"/>
            </w:tcMar>
            <w:vAlign w:val="center"/>
          </w:tcPr>
          <w:p w14:paraId="37F0C5A5" w14:textId="77777777" w:rsidR="006E7117" w:rsidRDefault="00000000">
            <w:pPr>
              <w:keepNext/>
              <w:keepLines/>
              <w:spacing w:after="0" w:line="240" w:lineRule="auto"/>
            </w:pPr>
            <w:r>
              <w:rPr>
                <w:sz w:val="18"/>
              </w:rPr>
              <w:t>Reprezentacija</w:t>
            </w:r>
          </w:p>
        </w:tc>
        <w:tc>
          <w:tcPr>
            <w:tcW w:w="700" w:type="dxa"/>
            <w:tcMar>
              <w:top w:w="0" w:type="dxa"/>
              <w:bottom w:w="0" w:type="dxa"/>
            </w:tcMar>
            <w:vAlign w:val="center"/>
          </w:tcPr>
          <w:p w14:paraId="2ADB23E2" w14:textId="77777777" w:rsidR="006E7117" w:rsidRDefault="00000000">
            <w:pPr>
              <w:keepNext/>
              <w:keepLines/>
              <w:spacing w:after="0" w:line="240" w:lineRule="auto"/>
            </w:pPr>
            <w:r>
              <w:rPr>
                <w:sz w:val="18"/>
              </w:rPr>
              <w:t>3293</w:t>
            </w:r>
          </w:p>
        </w:tc>
        <w:tc>
          <w:tcPr>
            <w:tcW w:w="1860" w:type="dxa"/>
            <w:tcMar>
              <w:top w:w="0" w:type="dxa"/>
              <w:bottom w:w="0" w:type="dxa"/>
            </w:tcMar>
            <w:vAlign w:val="center"/>
          </w:tcPr>
          <w:p w14:paraId="33FC5FE2" w14:textId="77777777" w:rsidR="006E7117" w:rsidRDefault="00000000">
            <w:pPr>
              <w:keepNext/>
              <w:keepLines/>
              <w:spacing w:after="0" w:line="240" w:lineRule="auto"/>
              <w:jc w:val="right"/>
            </w:pPr>
            <w:r>
              <w:rPr>
                <w:sz w:val="18"/>
              </w:rPr>
              <w:t>3.344,53</w:t>
            </w:r>
          </w:p>
        </w:tc>
        <w:tc>
          <w:tcPr>
            <w:tcW w:w="1860" w:type="dxa"/>
            <w:tcMar>
              <w:top w:w="0" w:type="dxa"/>
              <w:bottom w:w="0" w:type="dxa"/>
            </w:tcMar>
            <w:vAlign w:val="center"/>
          </w:tcPr>
          <w:p w14:paraId="73F71F37" w14:textId="77777777" w:rsidR="006E7117" w:rsidRDefault="00000000">
            <w:pPr>
              <w:keepNext/>
              <w:keepLines/>
              <w:spacing w:after="0" w:line="240" w:lineRule="auto"/>
              <w:jc w:val="right"/>
            </w:pPr>
            <w:r>
              <w:rPr>
                <w:sz w:val="18"/>
              </w:rPr>
              <w:t>7.171,04</w:t>
            </w:r>
          </w:p>
        </w:tc>
        <w:tc>
          <w:tcPr>
            <w:tcW w:w="700" w:type="dxa"/>
            <w:tcMar>
              <w:top w:w="0" w:type="dxa"/>
              <w:bottom w:w="0" w:type="dxa"/>
            </w:tcMar>
            <w:vAlign w:val="center"/>
          </w:tcPr>
          <w:p w14:paraId="6A757112" w14:textId="77777777" w:rsidR="006E7117" w:rsidRDefault="00000000">
            <w:pPr>
              <w:keepNext/>
              <w:keepLines/>
              <w:spacing w:after="0" w:line="240" w:lineRule="auto"/>
              <w:jc w:val="right"/>
            </w:pPr>
            <w:r>
              <w:rPr>
                <w:sz w:val="18"/>
              </w:rPr>
              <w:t>214,4</w:t>
            </w:r>
          </w:p>
        </w:tc>
      </w:tr>
    </w:tbl>
    <w:p w14:paraId="5C64BF48" w14:textId="77777777" w:rsidR="006E7117" w:rsidRDefault="006E7117">
      <w:pPr>
        <w:spacing w:after="0"/>
      </w:pPr>
    </w:p>
    <w:p w14:paraId="200B1DED" w14:textId="77777777" w:rsidR="006E7117" w:rsidRDefault="00000000">
      <w:pPr>
        <w:spacing w:line="240" w:lineRule="auto"/>
        <w:jc w:val="both"/>
      </w:pPr>
      <w:r>
        <w:t>Navedeni rashod odnosi se na korištenje ugostiteljskih usluga prilikom otvaranja izložbi te drugih manifestacija u organizaciji GMV-a prema odobrenju čelnika ustanove.</w:t>
      </w:r>
    </w:p>
    <w:p w14:paraId="6587CEBC" w14:textId="77777777" w:rsidR="006E7117" w:rsidRDefault="006E7117"/>
    <w:p w14:paraId="2612E0A2" w14:textId="77777777" w:rsidR="006E7117" w:rsidRDefault="00000000">
      <w:pPr>
        <w:keepNext/>
        <w:spacing w:line="240" w:lineRule="auto"/>
        <w:jc w:val="center"/>
      </w:pPr>
      <w:r>
        <w:rPr>
          <w:sz w:val="28"/>
        </w:rPr>
        <w:lastRenderedPageBreak/>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0F9790B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D4074A1"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CC70CCB"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B42AC74"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DE966A"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13D23CA"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19300EE" w14:textId="77777777" w:rsidR="006E7117" w:rsidRDefault="00000000">
            <w:pPr>
              <w:keepNext/>
              <w:keepLines/>
              <w:spacing w:after="0" w:line="240" w:lineRule="auto"/>
              <w:jc w:val="center"/>
            </w:pPr>
            <w:r>
              <w:rPr>
                <w:b/>
                <w:sz w:val="18"/>
              </w:rPr>
              <w:t>Indeks (%)</w:t>
            </w:r>
          </w:p>
        </w:tc>
      </w:tr>
      <w:tr w:rsidR="006E7117" w14:paraId="0ADBEC09" w14:textId="77777777">
        <w:tblPrEx>
          <w:tblCellMar>
            <w:top w:w="0" w:type="dxa"/>
            <w:bottom w:w="0" w:type="dxa"/>
          </w:tblCellMar>
        </w:tblPrEx>
        <w:trPr>
          <w:cantSplit/>
          <w:trHeight w:val="560"/>
        </w:trPr>
        <w:tc>
          <w:tcPr>
            <w:tcW w:w="700" w:type="dxa"/>
            <w:tcMar>
              <w:top w:w="0" w:type="dxa"/>
              <w:bottom w:w="0" w:type="dxa"/>
            </w:tcMar>
            <w:vAlign w:val="center"/>
          </w:tcPr>
          <w:p w14:paraId="44987A2D" w14:textId="77777777" w:rsidR="006E7117" w:rsidRDefault="00000000">
            <w:pPr>
              <w:keepNext/>
              <w:keepLines/>
              <w:spacing w:after="0" w:line="240" w:lineRule="auto"/>
            </w:pPr>
            <w:r>
              <w:rPr>
                <w:sz w:val="18"/>
              </w:rPr>
              <w:t>3299</w:t>
            </w:r>
          </w:p>
        </w:tc>
        <w:tc>
          <w:tcPr>
            <w:tcW w:w="3180" w:type="dxa"/>
            <w:tcMar>
              <w:top w:w="0" w:type="dxa"/>
              <w:bottom w:w="0" w:type="dxa"/>
            </w:tcMar>
            <w:vAlign w:val="center"/>
          </w:tcPr>
          <w:p w14:paraId="2893F02F" w14:textId="77777777" w:rsidR="006E7117" w:rsidRDefault="00000000">
            <w:pPr>
              <w:keepNext/>
              <w:keepLines/>
              <w:spacing w:after="0" w:line="240" w:lineRule="auto"/>
            </w:pPr>
            <w:r>
              <w:rPr>
                <w:sz w:val="18"/>
              </w:rPr>
              <w:t>Ostali nespomenuti rashodi poslovanja</w:t>
            </w:r>
          </w:p>
        </w:tc>
        <w:tc>
          <w:tcPr>
            <w:tcW w:w="700" w:type="dxa"/>
            <w:tcMar>
              <w:top w:w="0" w:type="dxa"/>
              <w:bottom w:w="0" w:type="dxa"/>
            </w:tcMar>
            <w:vAlign w:val="center"/>
          </w:tcPr>
          <w:p w14:paraId="4E71FAC3" w14:textId="77777777" w:rsidR="006E7117" w:rsidRDefault="00000000">
            <w:pPr>
              <w:keepNext/>
              <w:keepLines/>
              <w:spacing w:after="0" w:line="240" w:lineRule="auto"/>
            </w:pPr>
            <w:r>
              <w:rPr>
                <w:sz w:val="18"/>
              </w:rPr>
              <w:t>3299</w:t>
            </w:r>
          </w:p>
        </w:tc>
        <w:tc>
          <w:tcPr>
            <w:tcW w:w="1860" w:type="dxa"/>
            <w:tcMar>
              <w:top w:w="0" w:type="dxa"/>
              <w:bottom w:w="0" w:type="dxa"/>
            </w:tcMar>
            <w:vAlign w:val="center"/>
          </w:tcPr>
          <w:p w14:paraId="05ADF3D1" w14:textId="77777777" w:rsidR="006E7117" w:rsidRDefault="00000000">
            <w:pPr>
              <w:keepNext/>
              <w:keepLines/>
              <w:spacing w:after="0" w:line="240" w:lineRule="auto"/>
              <w:jc w:val="right"/>
            </w:pPr>
            <w:r>
              <w:rPr>
                <w:sz w:val="18"/>
              </w:rPr>
              <w:t>409,09</w:t>
            </w:r>
          </w:p>
        </w:tc>
        <w:tc>
          <w:tcPr>
            <w:tcW w:w="1860" w:type="dxa"/>
            <w:tcMar>
              <w:top w:w="0" w:type="dxa"/>
              <w:bottom w:w="0" w:type="dxa"/>
            </w:tcMar>
            <w:vAlign w:val="center"/>
          </w:tcPr>
          <w:p w14:paraId="7D6F5EC1" w14:textId="77777777" w:rsidR="006E7117" w:rsidRDefault="00000000">
            <w:pPr>
              <w:keepNext/>
              <w:keepLines/>
              <w:spacing w:after="0" w:line="240" w:lineRule="auto"/>
              <w:jc w:val="right"/>
            </w:pPr>
            <w:r>
              <w:rPr>
                <w:sz w:val="18"/>
              </w:rPr>
              <w:t>10.691,87</w:t>
            </w:r>
          </w:p>
        </w:tc>
        <w:tc>
          <w:tcPr>
            <w:tcW w:w="700" w:type="dxa"/>
            <w:tcMar>
              <w:top w:w="0" w:type="dxa"/>
              <w:bottom w:w="0" w:type="dxa"/>
            </w:tcMar>
            <w:vAlign w:val="center"/>
          </w:tcPr>
          <w:p w14:paraId="34931D68" w14:textId="77777777" w:rsidR="006E7117" w:rsidRDefault="00000000">
            <w:pPr>
              <w:keepNext/>
              <w:keepLines/>
              <w:spacing w:after="0" w:line="240" w:lineRule="auto"/>
              <w:jc w:val="right"/>
            </w:pPr>
            <w:r>
              <w:rPr>
                <w:sz w:val="18"/>
              </w:rPr>
              <w:t>2613,6</w:t>
            </w:r>
          </w:p>
        </w:tc>
      </w:tr>
    </w:tbl>
    <w:p w14:paraId="31FAD329" w14:textId="77777777" w:rsidR="006E7117" w:rsidRDefault="006E7117">
      <w:pPr>
        <w:spacing w:after="0"/>
      </w:pPr>
    </w:p>
    <w:p w14:paraId="7E83A714" w14:textId="77777777" w:rsidR="006E7117" w:rsidRDefault="00000000">
      <w:pPr>
        <w:spacing w:line="240" w:lineRule="auto"/>
        <w:jc w:val="both"/>
      </w:pPr>
      <w:r>
        <w:t>Rashod u iznosu od 10.083,50 eura odnosi na izradu medalja naručenih od Hrvatske kovnice novca  povodom 100. obljetnice GMV-a.</w:t>
      </w:r>
    </w:p>
    <w:p w14:paraId="1BADACA5" w14:textId="77777777" w:rsidR="006E7117" w:rsidRDefault="006E7117"/>
    <w:p w14:paraId="70C4EB83" w14:textId="77777777" w:rsidR="006E7117"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7D22C7D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D8BFBEC"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E4C65FA"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3F0E81C"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C054E2A"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29492DA"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8D276C2" w14:textId="77777777" w:rsidR="006E7117" w:rsidRDefault="00000000">
            <w:pPr>
              <w:keepNext/>
              <w:keepLines/>
              <w:spacing w:after="0" w:line="240" w:lineRule="auto"/>
              <w:jc w:val="center"/>
            </w:pPr>
            <w:r>
              <w:rPr>
                <w:b/>
                <w:sz w:val="18"/>
              </w:rPr>
              <w:t>Indeks (%)</w:t>
            </w:r>
          </w:p>
        </w:tc>
      </w:tr>
      <w:tr w:rsidR="006E7117" w14:paraId="171ABD7F" w14:textId="77777777">
        <w:tblPrEx>
          <w:tblCellMar>
            <w:top w:w="0" w:type="dxa"/>
            <w:bottom w:w="0" w:type="dxa"/>
          </w:tblCellMar>
        </w:tblPrEx>
        <w:trPr>
          <w:cantSplit/>
          <w:trHeight w:val="560"/>
        </w:trPr>
        <w:tc>
          <w:tcPr>
            <w:tcW w:w="700" w:type="dxa"/>
            <w:tcMar>
              <w:top w:w="0" w:type="dxa"/>
              <w:bottom w:w="0" w:type="dxa"/>
            </w:tcMar>
            <w:vAlign w:val="center"/>
          </w:tcPr>
          <w:p w14:paraId="3A597B5E" w14:textId="77777777" w:rsidR="006E7117" w:rsidRDefault="00000000">
            <w:pPr>
              <w:keepNext/>
              <w:keepLines/>
              <w:spacing w:after="0" w:line="240" w:lineRule="auto"/>
            </w:pPr>
            <w:r>
              <w:rPr>
                <w:sz w:val="18"/>
              </w:rPr>
              <w:t>96</w:t>
            </w:r>
          </w:p>
        </w:tc>
        <w:tc>
          <w:tcPr>
            <w:tcW w:w="3180" w:type="dxa"/>
            <w:tcMar>
              <w:top w:w="0" w:type="dxa"/>
              <w:bottom w:w="0" w:type="dxa"/>
            </w:tcMar>
            <w:vAlign w:val="center"/>
          </w:tcPr>
          <w:p w14:paraId="15DE8D28" w14:textId="77777777" w:rsidR="006E7117" w:rsidRDefault="00000000">
            <w:pPr>
              <w:keepNext/>
              <w:keepLines/>
              <w:spacing w:after="0" w:line="240" w:lineRule="auto"/>
            </w:pPr>
            <w:r>
              <w:rPr>
                <w:sz w:val="18"/>
              </w:rPr>
              <w:t>Obračunati prihodi poslovanja - nenaplaćeni</w:t>
            </w:r>
          </w:p>
        </w:tc>
        <w:tc>
          <w:tcPr>
            <w:tcW w:w="700" w:type="dxa"/>
            <w:tcMar>
              <w:top w:w="0" w:type="dxa"/>
              <w:bottom w:w="0" w:type="dxa"/>
            </w:tcMar>
            <w:vAlign w:val="center"/>
          </w:tcPr>
          <w:p w14:paraId="15DA005D" w14:textId="77777777" w:rsidR="006E7117" w:rsidRDefault="00000000">
            <w:pPr>
              <w:keepNext/>
              <w:keepLines/>
              <w:spacing w:after="0" w:line="240" w:lineRule="auto"/>
            </w:pPr>
            <w:r>
              <w:rPr>
                <w:sz w:val="18"/>
              </w:rPr>
              <w:t>96</w:t>
            </w:r>
          </w:p>
        </w:tc>
        <w:tc>
          <w:tcPr>
            <w:tcW w:w="1860" w:type="dxa"/>
            <w:tcMar>
              <w:top w:w="0" w:type="dxa"/>
              <w:bottom w:w="0" w:type="dxa"/>
            </w:tcMar>
            <w:vAlign w:val="center"/>
          </w:tcPr>
          <w:p w14:paraId="674CB88A" w14:textId="77777777" w:rsidR="006E7117" w:rsidRDefault="00000000">
            <w:pPr>
              <w:keepNext/>
              <w:keepLines/>
              <w:spacing w:after="0" w:line="240" w:lineRule="auto"/>
              <w:jc w:val="right"/>
            </w:pPr>
            <w:r>
              <w:rPr>
                <w:sz w:val="18"/>
              </w:rPr>
              <w:t>10.191,71</w:t>
            </w:r>
          </w:p>
        </w:tc>
        <w:tc>
          <w:tcPr>
            <w:tcW w:w="1860" w:type="dxa"/>
            <w:tcMar>
              <w:top w:w="0" w:type="dxa"/>
              <w:bottom w:w="0" w:type="dxa"/>
            </w:tcMar>
            <w:vAlign w:val="center"/>
          </w:tcPr>
          <w:p w14:paraId="05506E49" w14:textId="77777777" w:rsidR="006E7117" w:rsidRDefault="00000000">
            <w:pPr>
              <w:keepNext/>
              <w:keepLines/>
              <w:spacing w:after="0" w:line="240" w:lineRule="auto"/>
              <w:jc w:val="right"/>
            </w:pPr>
            <w:r>
              <w:rPr>
                <w:sz w:val="18"/>
              </w:rPr>
              <w:t>32.015,62</w:t>
            </w:r>
          </w:p>
        </w:tc>
        <w:tc>
          <w:tcPr>
            <w:tcW w:w="700" w:type="dxa"/>
            <w:tcMar>
              <w:top w:w="0" w:type="dxa"/>
              <w:bottom w:w="0" w:type="dxa"/>
            </w:tcMar>
            <w:vAlign w:val="center"/>
          </w:tcPr>
          <w:p w14:paraId="79A3AC6D" w14:textId="77777777" w:rsidR="006E7117" w:rsidRDefault="00000000">
            <w:pPr>
              <w:keepNext/>
              <w:keepLines/>
              <w:spacing w:after="0" w:line="240" w:lineRule="auto"/>
              <w:jc w:val="right"/>
            </w:pPr>
            <w:r>
              <w:rPr>
                <w:sz w:val="18"/>
              </w:rPr>
              <w:t>314,1</w:t>
            </w:r>
          </w:p>
        </w:tc>
      </w:tr>
    </w:tbl>
    <w:p w14:paraId="77E47A30" w14:textId="77777777" w:rsidR="006E7117" w:rsidRDefault="006E7117">
      <w:pPr>
        <w:spacing w:after="0"/>
      </w:pPr>
    </w:p>
    <w:p w14:paraId="13308777" w14:textId="77777777" w:rsidR="006E7117" w:rsidRDefault="00000000">
      <w:pPr>
        <w:spacing w:line="240" w:lineRule="auto"/>
        <w:jc w:val="both"/>
      </w:pPr>
      <w:r>
        <w:t>Ostvareni nenaplaćeni obračunati prihodi poslovanja veći su u odnosu na isto razdoblje prethodne godine zbog uvođenja obveznog evidentiranja potraživanja i obračunatih prihoda od pomoći iz državnog proračuna (Ministarstvo kulture RH) i proračuna koji nije nadležan (Varaždinska županija) a na temelju potpisanih ugovora za odobrena sredstva pomoći.</w:t>
      </w:r>
    </w:p>
    <w:p w14:paraId="47C995CE" w14:textId="77777777" w:rsidR="006E7117" w:rsidRDefault="006E7117"/>
    <w:p w14:paraId="1B84D4CF" w14:textId="77777777" w:rsidR="006E7117" w:rsidRDefault="0000000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1787839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1E4BBED"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F0A4BD0"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90B46CC"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0A7F0F4"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5D3893F"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F451019" w14:textId="77777777" w:rsidR="006E7117" w:rsidRDefault="00000000">
            <w:pPr>
              <w:keepNext/>
              <w:keepLines/>
              <w:spacing w:after="0" w:line="240" w:lineRule="auto"/>
              <w:jc w:val="center"/>
            </w:pPr>
            <w:r>
              <w:rPr>
                <w:b/>
                <w:sz w:val="18"/>
              </w:rPr>
              <w:t>Indeks (%)</w:t>
            </w:r>
          </w:p>
        </w:tc>
      </w:tr>
      <w:tr w:rsidR="006E7117" w14:paraId="304DD58C" w14:textId="77777777">
        <w:tblPrEx>
          <w:tblCellMar>
            <w:top w:w="0" w:type="dxa"/>
            <w:bottom w:w="0" w:type="dxa"/>
          </w:tblCellMar>
        </w:tblPrEx>
        <w:trPr>
          <w:cantSplit/>
          <w:trHeight w:val="560"/>
        </w:trPr>
        <w:tc>
          <w:tcPr>
            <w:tcW w:w="700" w:type="dxa"/>
            <w:tcMar>
              <w:top w:w="0" w:type="dxa"/>
              <w:bottom w:w="0" w:type="dxa"/>
            </w:tcMar>
            <w:vAlign w:val="center"/>
          </w:tcPr>
          <w:p w14:paraId="44D04971" w14:textId="77777777" w:rsidR="006E7117" w:rsidRDefault="00000000">
            <w:pPr>
              <w:keepNext/>
              <w:keepLines/>
              <w:spacing w:after="0" w:line="240" w:lineRule="auto"/>
            </w:pPr>
            <w:r>
              <w:rPr>
                <w:sz w:val="18"/>
              </w:rPr>
              <w:t>4242</w:t>
            </w:r>
          </w:p>
        </w:tc>
        <w:tc>
          <w:tcPr>
            <w:tcW w:w="3180" w:type="dxa"/>
            <w:tcMar>
              <w:top w:w="0" w:type="dxa"/>
              <w:bottom w:w="0" w:type="dxa"/>
            </w:tcMar>
            <w:vAlign w:val="center"/>
          </w:tcPr>
          <w:p w14:paraId="059E4B1F" w14:textId="77777777" w:rsidR="006E7117" w:rsidRDefault="00000000">
            <w:pPr>
              <w:keepNext/>
              <w:keepLines/>
              <w:spacing w:after="0" w:line="240" w:lineRule="auto"/>
            </w:pPr>
            <w:r>
              <w:rPr>
                <w:sz w:val="18"/>
              </w:rPr>
              <w:t>Umjetnička djela (izložena u galerijama, muzejima i slično)</w:t>
            </w:r>
          </w:p>
        </w:tc>
        <w:tc>
          <w:tcPr>
            <w:tcW w:w="700" w:type="dxa"/>
            <w:tcMar>
              <w:top w:w="0" w:type="dxa"/>
              <w:bottom w:w="0" w:type="dxa"/>
            </w:tcMar>
            <w:vAlign w:val="center"/>
          </w:tcPr>
          <w:p w14:paraId="24B49A49" w14:textId="77777777" w:rsidR="006E7117" w:rsidRDefault="00000000">
            <w:pPr>
              <w:keepNext/>
              <w:keepLines/>
              <w:spacing w:after="0" w:line="240" w:lineRule="auto"/>
            </w:pPr>
            <w:r>
              <w:rPr>
                <w:sz w:val="18"/>
              </w:rPr>
              <w:t>4242</w:t>
            </w:r>
          </w:p>
        </w:tc>
        <w:tc>
          <w:tcPr>
            <w:tcW w:w="1860" w:type="dxa"/>
            <w:tcMar>
              <w:top w:w="0" w:type="dxa"/>
              <w:bottom w:w="0" w:type="dxa"/>
            </w:tcMar>
            <w:vAlign w:val="center"/>
          </w:tcPr>
          <w:p w14:paraId="3F8FBAEF" w14:textId="77777777" w:rsidR="006E7117" w:rsidRDefault="00000000">
            <w:pPr>
              <w:keepNext/>
              <w:keepLines/>
              <w:spacing w:after="0" w:line="240" w:lineRule="auto"/>
              <w:jc w:val="right"/>
            </w:pPr>
            <w:r>
              <w:rPr>
                <w:sz w:val="18"/>
              </w:rPr>
              <w:t>2.173,75</w:t>
            </w:r>
          </w:p>
        </w:tc>
        <w:tc>
          <w:tcPr>
            <w:tcW w:w="1860" w:type="dxa"/>
            <w:tcMar>
              <w:top w:w="0" w:type="dxa"/>
              <w:bottom w:w="0" w:type="dxa"/>
            </w:tcMar>
            <w:vAlign w:val="center"/>
          </w:tcPr>
          <w:p w14:paraId="0803498E" w14:textId="77777777" w:rsidR="006E7117" w:rsidRDefault="00000000">
            <w:pPr>
              <w:keepNext/>
              <w:keepLines/>
              <w:spacing w:after="0" w:line="240" w:lineRule="auto"/>
              <w:jc w:val="right"/>
            </w:pPr>
            <w:r>
              <w:rPr>
                <w:sz w:val="18"/>
              </w:rPr>
              <w:t>10.696,00</w:t>
            </w:r>
          </w:p>
        </w:tc>
        <w:tc>
          <w:tcPr>
            <w:tcW w:w="700" w:type="dxa"/>
            <w:tcMar>
              <w:top w:w="0" w:type="dxa"/>
              <w:bottom w:w="0" w:type="dxa"/>
            </w:tcMar>
            <w:vAlign w:val="center"/>
          </w:tcPr>
          <w:p w14:paraId="01298131" w14:textId="77777777" w:rsidR="006E7117" w:rsidRDefault="00000000">
            <w:pPr>
              <w:keepNext/>
              <w:keepLines/>
              <w:spacing w:after="0" w:line="240" w:lineRule="auto"/>
              <w:jc w:val="right"/>
            </w:pPr>
            <w:r>
              <w:rPr>
                <w:sz w:val="18"/>
              </w:rPr>
              <w:t>492,1</w:t>
            </w:r>
          </w:p>
        </w:tc>
      </w:tr>
    </w:tbl>
    <w:p w14:paraId="35061DCC" w14:textId="77777777" w:rsidR="006E7117" w:rsidRDefault="006E7117">
      <w:pPr>
        <w:spacing w:after="0"/>
      </w:pPr>
    </w:p>
    <w:p w14:paraId="46B1FA75" w14:textId="77777777" w:rsidR="006E7117" w:rsidRDefault="00000000">
      <w:pPr>
        <w:spacing w:line="240" w:lineRule="auto"/>
        <w:jc w:val="both"/>
      </w:pPr>
      <w:r>
        <w:t xml:space="preserve">Rashod se odnosi na otkup 43 predmeta za Povijesni odjel u iznosu od 1.966,00 eura, otkup originalnih crteža Radovana Domagoja Devlića, strip "Varaždin" za Galeriju umjetnina u iznosu od 5.000,00 eura, darovanje grafičke mape s 34 lista darovatelja B. </w:t>
      </w:r>
      <w:proofErr w:type="spellStart"/>
      <w:r>
        <w:t>Biškupić</w:t>
      </w:r>
      <w:proofErr w:type="spellEnd"/>
      <w:r>
        <w:t xml:space="preserve"> u iznosu od 3.000,00 eura, te kupnju albuma i razglednica za Povijesni odjel u iznosu od 730,00 eura.</w:t>
      </w:r>
    </w:p>
    <w:p w14:paraId="34E22672" w14:textId="77777777" w:rsidR="006E7117" w:rsidRDefault="006E7117"/>
    <w:p w14:paraId="62E9AD97" w14:textId="77777777" w:rsidR="006E7117"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424CDF1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9B57351"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115AEC4"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7DE3B7E"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9D23A5"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E6D5233"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2F73F86" w14:textId="77777777" w:rsidR="006E7117" w:rsidRDefault="00000000">
            <w:pPr>
              <w:keepNext/>
              <w:keepLines/>
              <w:spacing w:after="0" w:line="240" w:lineRule="auto"/>
              <w:jc w:val="center"/>
            </w:pPr>
            <w:r>
              <w:rPr>
                <w:b/>
                <w:sz w:val="18"/>
              </w:rPr>
              <w:t>Indeks (%)</w:t>
            </w:r>
          </w:p>
        </w:tc>
      </w:tr>
      <w:tr w:rsidR="006E7117" w14:paraId="23C6FB9A" w14:textId="77777777">
        <w:tblPrEx>
          <w:tblCellMar>
            <w:top w:w="0" w:type="dxa"/>
            <w:bottom w:w="0" w:type="dxa"/>
          </w:tblCellMar>
        </w:tblPrEx>
        <w:trPr>
          <w:cantSplit/>
          <w:trHeight w:val="560"/>
        </w:trPr>
        <w:tc>
          <w:tcPr>
            <w:tcW w:w="700" w:type="dxa"/>
            <w:tcMar>
              <w:top w:w="0" w:type="dxa"/>
              <w:bottom w:w="0" w:type="dxa"/>
            </w:tcMar>
            <w:vAlign w:val="center"/>
          </w:tcPr>
          <w:p w14:paraId="1A16F595" w14:textId="77777777" w:rsidR="006E7117" w:rsidRDefault="00000000">
            <w:pPr>
              <w:keepNext/>
              <w:keepLines/>
              <w:spacing w:after="0" w:line="240" w:lineRule="auto"/>
            </w:pPr>
            <w:r>
              <w:rPr>
                <w:sz w:val="18"/>
              </w:rPr>
              <w:t>45</w:t>
            </w:r>
          </w:p>
        </w:tc>
        <w:tc>
          <w:tcPr>
            <w:tcW w:w="3180" w:type="dxa"/>
            <w:tcMar>
              <w:top w:w="0" w:type="dxa"/>
              <w:bottom w:w="0" w:type="dxa"/>
            </w:tcMar>
            <w:vAlign w:val="center"/>
          </w:tcPr>
          <w:p w14:paraId="7DD81D82" w14:textId="77777777" w:rsidR="006E7117" w:rsidRDefault="00000000">
            <w:pPr>
              <w:keepNext/>
              <w:keepLines/>
              <w:spacing w:after="0" w:line="240" w:lineRule="auto"/>
            </w:pPr>
            <w:r>
              <w:rPr>
                <w:sz w:val="18"/>
              </w:rPr>
              <w:t>Rashodi za dodatna ulaganja na nefinancijskoj imovini (šifre 451 do 454)</w:t>
            </w:r>
          </w:p>
        </w:tc>
        <w:tc>
          <w:tcPr>
            <w:tcW w:w="700" w:type="dxa"/>
            <w:tcMar>
              <w:top w:w="0" w:type="dxa"/>
              <w:bottom w:w="0" w:type="dxa"/>
            </w:tcMar>
            <w:vAlign w:val="center"/>
          </w:tcPr>
          <w:p w14:paraId="66F0EFE5" w14:textId="77777777" w:rsidR="006E7117" w:rsidRDefault="00000000">
            <w:pPr>
              <w:keepNext/>
              <w:keepLines/>
              <w:spacing w:after="0" w:line="240" w:lineRule="auto"/>
            </w:pPr>
            <w:r>
              <w:rPr>
                <w:sz w:val="18"/>
              </w:rPr>
              <w:t>45</w:t>
            </w:r>
          </w:p>
        </w:tc>
        <w:tc>
          <w:tcPr>
            <w:tcW w:w="1860" w:type="dxa"/>
            <w:tcMar>
              <w:top w:w="0" w:type="dxa"/>
              <w:bottom w:w="0" w:type="dxa"/>
            </w:tcMar>
            <w:vAlign w:val="center"/>
          </w:tcPr>
          <w:p w14:paraId="44302525" w14:textId="77777777" w:rsidR="006E7117" w:rsidRDefault="00000000">
            <w:pPr>
              <w:keepNext/>
              <w:keepLines/>
              <w:spacing w:after="0" w:line="240" w:lineRule="auto"/>
              <w:jc w:val="right"/>
            </w:pPr>
            <w:r>
              <w:rPr>
                <w:sz w:val="18"/>
              </w:rPr>
              <w:t>0,00</w:t>
            </w:r>
          </w:p>
        </w:tc>
        <w:tc>
          <w:tcPr>
            <w:tcW w:w="1860" w:type="dxa"/>
            <w:tcMar>
              <w:top w:w="0" w:type="dxa"/>
              <w:bottom w:w="0" w:type="dxa"/>
            </w:tcMar>
            <w:vAlign w:val="center"/>
          </w:tcPr>
          <w:p w14:paraId="060DC713" w14:textId="77777777" w:rsidR="006E7117" w:rsidRDefault="00000000">
            <w:pPr>
              <w:keepNext/>
              <w:keepLines/>
              <w:spacing w:after="0" w:line="240" w:lineRule="auto"/>
              <w:jc w:val="right"/>
            </w:pPr>
            <w:r>
              <w:rPr>
                <w:sz w:val="18"/>
              </w:rPr>
              <w:t>213.119,40</w:t>
            </w:r>
          </w:p>
        </w:tc>
        <w:tc>
          <w:tcPr>
            <w:tcW w:w="700" w:type="dxa"/>
            <w:tcMar>
              <w:top w:w="0" w:type="dxa"/>
              <w:bottom w:w="0" w:type="dxa"/>
            </w:tcMar>
            <w:vAlign w:val="center"/>
          </w:tcPr>
          <w:p w14:paraId="599AD414" w14:textId="77777777" w:rsidR="006E7117" w:rsidRDefault="00000000">
            <w:pPr>
              <w:keepNext/>
              <w:keepLines/>
              <w:spacing w:after="0" w:line="240" w:lineRule="auto"/>
              <w:jc w:val="right"/>
            </w:pPr>
            <w:r>
              <w:rPr>
                <w:sz w:val="18"/>
              </w:rPr>
              <w:t>-</w:t>
            </w:r>
          </w:p>
        </w:tc>
      </w:tr>
    </w:tbl>
    <w:p w14:paraId="23AF11D9" w14:textId="77777777" w:rsidR="006E7117" w:rsidRDefault="006E7117">
      <w:pPr>
        <w:spacing w:after="0"/>
      </w:pPr>
    </w:p>
    <w:p w14:paraId="0E4C6F94" w14:textId="77777777" w:rsidR="006E7117" w:rsidRDefault="00000000">
      <w:pPr>
        <w:spacing w:line="240" w:lineRule="auto"/>
        <w:jc w:val="both"/>
      </w:pPr>
      <w:r>
        <w:t>Rashod se odnosi na energetsku obnovu Starog grada Varaždina financiranu iz sredstava EU i nadležnog proračuna.</w:t>
      </w:r>
    </w:p>
    <w:p w14:paraId="256127A8" w14:textId="77777777" w:rsidR="006E7117" w:rsidRDefault="006E7117"/>
    <w:p w14:paraId="1B3B15ED" w14:textId="77777777" w:rsidR="006E7117" w:rsidRDefault="00000000">
      <w:pPr>
        <w:keepNext/>
        <w:spacing w:line="240" w:lineRule="auto"/>
        <w:jc w:val="center"/>
      </w:pPr>
      <w:r>
        <w:rPr>
          <w:sz w:val="28"/>
        </w:rPr>
        <w:lastRenderedPageBreak/>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22D8216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4C4D9EC"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EE90EBF"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E79152"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7BEF220"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35B685B"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4BF1D69" w14:textId="77777777" w:rsidR="006E7117" w:rsidRDefault="00000000">
            <w:pPr>
              <w:keepNext/>
              <w:keepLines/>
              <w:spacing w:after="0" w:line="240" w:lineRule="auto"/>
              <w:jc w:val="center"/>
            </w:pPr>
            <w:r>
              <w:rPr>
                <w:b/>
                <w:sz w:val="18"/>
              </w:rPr>
              <w:t>Indeks (%)</w:t>
            </w:r>
          </w:p>
        </w:tc>
      </w:tr>
      <w:tr w:rsidR="006E7117" w14:paraId="233019B2" w14:textId="77777777">
        <w:tblPrEx>
          <w:tblCellMar>
            <w:top w:w="0" w:type="dxa"/>
            <w:bottom w:w="0" w:type="dxa"/>
          </w:tblCellMar>
        </w:tblPrEx>
        <w:trPr>
          <w:cantSplit/>
          <w:trHeight w:val="560"/>
        </w:trPr>
        <w:tc>
          <w:tcPr>
            <w:tcW w:w="700" w:type="dxa"/>
            <w:tcMar>
              <w:top w:w="0" w:type="dxa"/>
              <w:bottom w:w="0" w:type="dxa"/>
            </w:tcMar>
            <w:vAlign w:val="center"/>
          </w:tcPr>
          <w:p w14:paraId="58857714" w14:textId="77777777" w:rsidR="006E7117" w:rsidRDefault="006E7117">
            <w:pPr>
              <w:keepNext/>
              <w:keepLines/>
              <w:spacing w:after="0" w:line="240" w:lineRule="auto"/>
            </w:pPr>
          </w:p>
        </w:tc>
        <w:tc>
          <w:tcPr>
            <w:tcW w:w="3180" w:type="dxa"/>
            <w:tcMar>
              <w:top w:w="0" w:type="dxa"/>
              <w:bottom w:w="0" w:type="dxa"/>
            </w:tcMar>
            <w:vAlign w:val="center"/>
          </w:tcPr>
          <w:p w14:paraId="1336293D" w14:textId="77777777" w:rsidR="006E7117" w:rsidRDefault="00000000">
            <w:pPr>
              <w:keepNext/>
              <w:keepLines/>
              <w:spacing w:after="0" w:line="240" w:lineRule="auto"/>
            </w:pPr>
            <w:r>
              <w:rPr>
                <w:sz w:val="18"/>
              </w:rPr>
              <w:t>MANJAK PRIHODA OD NEFINANCIJSKE IMOVINE (šifre 4-7)</w:t>
            </w:r>
          </w:p>
        </w:tc>
        <w:tc>
          <w:tcPr>
            <w:tcW w:w="700" w:type="dxa"/>
            <w:tcMar>
              <w:top w:w="0" w:type="dxa"/>
              <w:bottom w:w="0" w:type="dxa"/>
            </w:tcMar>
            <w:vAlign w:val="center"/>
          </w:tcPr>
          <w:p w14:paraId="1FD8BD03" w14:textId="77777777" w:rsidR="006E7117" w:rsidRDefault="00000000">
            <w:pPr>
              <w:keepNext/>
              <w:keepLines/>
              <w:spacing w:after="0" w:line="240" w:lineRule="auto"/>
            </w:pPr>
            <w:r>
              <w:rPr>
                <w:sz w:val="18"/>
              </w:rPr>
              <w:t>Y002</w:t>
            </w:r>
          </w:p>
        </w:tc>
        <w:tc>
          <w:tcPr>
            <w:tcW w:w="1860" w:type="dxa"/>
            <w:tcMar>
              <w:top w:w="0" w:type="dxa"/>
              <w:bottom w:w="0" w:type="dxa"/>
            </w:tcMar>
            <w:vAlign w:val="center"/>
          </w:tcPr>
          <w:p w14:paraId="58D7EA3D" w14:textId="77777777" w:rsidR="006E7117" w:rsidRDefault="00000000">
            <w:pPr>
              <w:keepNext/>
              <w:keepLines/>
              <w:spacing w:after="0" w:line="240" w:lineRule="auto"/>
              <w:jc w:val="right"/>
            </w:pPr>
            <w:r>
              <w:rPr>
                <w:sz w:val="18"/>
              </w:rPr>
              <w:t>36.574,52</w:t>
            </w:r>
          </w:p>
        </w:tc>
        <w:tc>
          <w:tcPr>
            <w:tcW w:w="1860" w:type="dxa"/>
            <w:tcMar>
              <w:top w:w="0" w:type="dxa"/>
              <w:bottom w:w="0" w:type="dxa"/>
            </w:tcMar>
            <w:vAlign w:val="center"/>
          </w:tcPr>
          <w:p w14:paraId="6E42114E" w14:textId="77777777" w:rsidR="006E7117" w:rsidRDefault="00000000">
            <w:pPr>
              <w:keepNext/>
              <w:keepLines/>
              <w:spacing w:after="0" w:line="240" w:lineRule="auto"/>
              <w:jc w:val="right"/>
            </w:pPr>
            <w:r>
              <w:rPr>
                <w:sz w:val="18"/>
              </w:rPr>
              <w:t>242.453,68</w:t>
            </w:r>
          </w:p>
        </w:tc>
        <w:tc>
          <w:tcPr>
            <w:tcW w:w="700" w:type="dxa"/>
            <w:tcMar>
              <w:top w:w="0" w:type="dxa"/>
              <w:bottom w:w="0" w:type="dxa"/>
            </w:tcMar>
            <w:vAlign w:val="center"/>
          </w:tcPr>
          <w:p w14:paraId="779ED3CB" w14:textId="77777777" w:rsidR="006E7117" w:rsidRDefault="00000000">
            <w:pPr>
              <w:keepNext/>
              <w:keepLines/>
              <w:spacing w:after="0" w:line="240" w:lineRule="auto"/>
              <w:jc w:val="right"/>
            </w:pPr>
            <w:r>
              <w:rPr>
                <w:sz w:val="18"/>
              </w:rPr>
              <w:t>662,9</w:t>
            </w:r>
          </w:p>
        </w:tc>
      </w:tr>
    </w:tbl>
    <w:p w14:paraId="07567A63" w14:textId="77777777" w:rsidR="006E7117" w:rsidRDefault="006E7117">
      <w:pPr>
        <w:spacing w:after="0"/>
      </w:pPr>
    </w:p>
    <w:p w14:paraId="1BA1EEB3" w14:textId="77777777" w:rsidR="006E7117" w:rsidRDefault="00000000">
      <w:pPr>
        <w:spacing w:line="240" w:lineRule="auto"/>
        <w:jc w:val="both"/>
      </w:pPr>
      <w:r>
        <w:t>Razlog rasta navedenog manjka je energetska obnova Starog grada kod koje se rashod evidentira kao dodatno ulaganje na objektu Stari grad te rezultira manjkom prihoda od nefinancijske imovine jer je doznaka sredstava za prvih pet privremenih situacija bila isplaćena kao avans krajem 2024. godine na prihodima skupine 6 i u 2025. godinu prenesena kao višak prihoda poslovanja te će se na kraju godine kroz korekcije isto korigirati.</w:t>
      </w:r>
    </w:p>
    <w:p w14:paraId="2E4F0E7D" w14:textId="77777777" w:rsidR="006E7117" w:rsidRDefault="006E7117"/>
    <w:p w14:paraId="29EB9380" w14:textId="77777777" w:rsidR="006E7117"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71B7B8E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D8650EB"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4DB22C9"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5D24392"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E772DF9"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D2BA5EA"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E88D09B" w14:textId="77777777" w:rsidR="006E7117" w:rsidRDefault="00000000">
            <w:pPr>
              <w:keepNext/>
              <w:keepLines/>
              <w:spacing w:after="0" w:line="240" w:lineRule="auto"/>
              <w:jc w:val="center"/>
            </w:pPr>
            <w:r>
              <w:rPr>
                <w:b/>
                <w:sz w:val="18"/>
              </w:rPr>
              <w:t>Indeks (%)</w:t>
            </w:r>
          </w:p>
        </w:tc>
      </w:tr>
      <w:tr w:rsidR="006E7117" w14:paraId="0304BD22" w14:textId="77777777">
        <w:tblPrEx>
          <w:tblCellMar>
            <w:top w:w="0" w:type="dxa"/>
            <w:bottom w:w="0" w:type="dxa"/>
          </w:tblCellMar>
        </w:tblPrEx>
        <w:trPr>
          <w:cantSplit/>
          <w:trHeight w:val="560"/>
        </w:trPr>
        <w:tc>
          <w:tcPr>
            <w:tcW w:w="700" w:type="dxa"/>
            <w:tcMar>
              <w:top w:w="0" w:type="dxa"/>
              <w:bottom w:w="0" w:type="dxa"/>
            </w:tcMar>
            <w:vAlign w:val="center"/>
          </w:tcPr>
          <w:p w14:paraId="303D53A8" w14:textId="77777777" w:rsidR="006E7117" w:rsidRDefault="006E7117">
            <w:pPr>
              <w:keepNext/>
              <w:keepLines/>
              <w:spacing w:after="0" w:line="240" w:lineRule="auto"/>
            </w:pPr>
          </w:p>
        </w:tc>
        <w:tc>
          <w:tcPr>
            <w:tcW w:w="3180" w:type="dxa"/>
            <w:tcMar>
              <w:top w:w="0" w:type="dxa"/>
              <w:bottom w:w="0" w:type="dxa"/>
            </w:tcMar>
            <w:vAlign w:val="center"/>
          </w:tcPr>
          <w:p w14:paraId="3BBF1080" w14:textId="77777777" w:rsidR="006E7117" w:rsidRDefault="00000000">
            <w:pPr>
              <w:keepNext/>
              <w:keepLines/>
              <w:spacing w:after="0" w:line="240" w:lineRule="auto"/>
            </w:pPr>
            <w:r>
              <w:rPr>
                <w:sz w:val="18"/>
              </w:rPr>
              <w:t>UKUPNI RASHODI (šifre Z005+4)</w:t>
            </w:r>
          </w:p>
        </w:tc>
        <w:tc>
          <w:tcPr>
            <w:tcW w:w="700" w:type="dxa"/>
            <w:tcMar>
              <w:top w:w="0" w:type="dxa"/>
              <w:bottom w:w="0" w:type="dxa"/>
            </w:tcMar>
            <w:vAlign w:val="center"/>
          </w:tcPr>
          <w:p w14:paraId="2BE8C861" w14:textId="77777777" w:rsidR="006E7117" w:rsidRDefault="00000000">
            <w:pPr>
              <w:keepNext/>
              <w:keepLines/>
              <w:spacing w:after="0" w:line="240" w:lineRule="auto"/>
            </w:pPr>
            <w:r>
              <w:rPr>
                <w:sz w:val="18"/>
              </w:rPr>
              <w:t>Y034</w:t>
            </w:r>
          </w:p>
        </w:tc>
        <w:tc>
          <w:tcPr>
            <w:tcW w:w="1860" w:type="dxa"/>
            <w:tcMar>
              <w:top w:w="0" w:type="dxa"/>
              <w:bottom w:w="0" w:type="dxa"/>
            </w:tcMar>
            <w:vAlign w:val="center"/>
          </w:tcPr>
          <w:p w14:paraId="1C5C0ED4" w14:textId="77777777" w:rsidR="006E7117" w:rsidRDefault="00000000">
            <w:pPr>
              <w:keepNext/>
              <w:keepLines/>
              <w:spacing w:after="0" w:line="240" w:lineRule="auto"/>
              <w:jc w:val="right"/>
            </w:pPr>
            <w:r>
              <w:rPr>
                <w:sz w:val="18"/>
              </w:rPr>
              <w:t>601.154,76</w:t>
            </w:r>
          </w:p>
        </w:tc>
        <w:tc>
          <w:tcPr>
            <w:tcW w:w="1860" w:type="dxa"/>
            <w:tcMar>
              <w:top w:w="0" w:type="dxa"/>
              <w:bottom w:w="0" w:type="dxa"/>
            </w:tcMar>
            <w:vAlign w:val="center"/>
          </w:tcPr>
          <w:p w14:paraId="12B18979" w14:textId="77777777" w:rsidR="006E7117" w:rsidRDefault="00000000">
            <w:pPr>
              <w:keepNext/>
              <w:keepLines/>
              <w:spacing w:after="0" w:line="240" w:lineRule="auto"/>
              <w:jc w:val="right"/>
            </w:pPr>
            <w:r>
              <w:rPr>
                <w:sz w:val="18"/>
              </w:rPr>
              <w:t>1.012.986,17</w:t>
            </w:r>
          </w:p>
        </w:tc>
        <w:tc>
          <w:tcPr>
            <w:tcW w:w="700" w:type="dxa"/>
            <w:tcMar>
              <w:top w:w="0" w:type="dxa"/>
              <w:bottom w:w="0" w:type="dxa"/>
            </w:tcMar>
            <w:vAlign w:val="center"/>
          </w:tcPr>
          <w:p w14:paraId="3FF3B21C" w14:textId="77777777" w:rsidR="006E7117" w:rsidRDefault="00000000">
            <w:pPr>
              <w:keepNext/>
              <w:keepLines/>
              <w:spacing w:after="0" w:line="240" w:lineRule="auto"/>
              <w:jc w:val="right"/>
            </w:pPr>
            <w:r>
              <w:rPr>
                <w:sz w:val="18"/>
              </w:rPr>
              <w:t>168,5</w:t>
            </w:r>
          </w:p>
        </w:tc>
      </w:tr>
    </w:tbl>
    <w:p w14:paraId="67D87679" w14:textId="77777777" w:rsidR="006E7117" w:rsidRDefault="006E7117">
      <w:pPr>
        <w:spacing w:after="0"/>
      </w:pPr>
    </w:p>
    <w:p w14:paraId="7645F7D7" w14:textId="77777777" w:rsidR="006E7117" w:rsidRDefault="00000000">
      <w:pPr>
        <w:spacing w:line="240" w:lineRule="auto"/>
        <w:jc w:val="both"/>
      </w:pPr>
      <w:r>
        <w:t>Rashodi su znatno povećani u odnosu na isto razdoblje prethodne godine zbog rashoda vezanih uz povećanje plaća djelatnika te rashode koji se odnose na energetsku obnovu Starog grada za koje su prihodi evidentirani krajem 2024. godine i preneseni odnosno uključeni u preneseni višak prihoda raspoloživ u ovom razdoblju.</w:t>
      </w:r>
    </w:p>
    <w:p w14:paraId="7541FBEC" w14:textId="77777777" w:rsidR="006E7117" w:rsidRDefault="006E7117"/>
    <w:p w14:paraId="7F6A80A5" w14:textId="77777777" w:rsidR="006E7117" w:rsidRDefault="0000000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449C08D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3D63A25"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C816F30"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C9364CB"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D8EB037"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60AFA1B"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E29CCA1" w14:textId="77777777" w:rsidR="006E7117" w:rsidRDefault="00000000">
            <w:pPr>
              <w:keepNext/>
              <w:keepLines/>
              <w:spacing w:after="0" w:line="240" w:lineRule="auto"/>
              <w:jc w:val="center"/>
            </w:pPr>
            <w:r>
              <w:rPr>
                <w:b/>
                <w:sz w:val="18"/>
              </w:rPr>
              <w:t>Indeks (%)</w:t>
            </w:r>
          </w:p>
        </w:tc>
      </w:tr>
      <w:tr w:rsidR="006E7117" w14:paraId="7C9C5822" w14:textId="77777777">
        <w:tblPrEx>
          <w:tblCellMar>
            <w:top w:w="0" w:type="dxa"/>
            <w:bottom w:w="0" w:type="dxa"/>
          </w:tblCellMar>
        </w:tblPrEx>
        <w:trPr>
          <w:cantSplit/>
          <w:trHeight w:val="560"/>
        </w:trPr>
        <w:tc>
          <w:tcPr>
            <w:tcW w:w="700" w:type="dxa"/>
            <w:tcMar>
              <w:top w:w="0" w:type="dxa"/>
              <w:bottom w:w="0" w:type="dxa"/>
            </w:tcMar>
            <w:vAlign w:val="center"/>
          </w:tcPr>
          <w:p w14:paraId="310BFD78" w14:textId="77777777" w:rsidR="006E7117" w:rsidRDefault="00000000">
            <w:pPr>
              <w:keepNext/>
              <w:keepLines/>
              <w:spacing w:after="0" w:line="240" w:lineRule="auto"/>
            </w:pPr>
            <w:r>
              <w:rPr>
                <w:sz w:val="18"/>
              </w:rPr>
              <w:t>11</w:t>
            </w:r>
          </w:p>
        </w:tc>
        <w:tc>
          <w:tcPr>
            <w:tcW w:w="3180" w:type="dxa"/>
            <w:tcMar>
              <w:top w:w="0" w:type="dxa"/>
              <w:bottom w:w="0" w:type="dxa"/>
            </w:tcMar>
            <w:vAlign w:val="center"/>
          </w:tcPr>
          <w:p w14:paraId="3407A482" w14:textId="77777777" w:rsidR="006E7117" w:rsidRDefault="00000000">
            <w:pPr>
              <w:keepNext/>
              <w:keepLines/>
              <w:spacing w:after="0" w:line="240" w:lineRule="auto"/>
            </w:pPr>
            <w:r>
              <w:rPr>
                <w:sz w:val="18"/>
              </w:rPr>
              <w:t>Stanje novčanih sredstava na početku izvještajnog razdoblja</w:t>
            </w:r>
          </w:p>
        </w:tc>
        <w:tc>
          <w:tcPr>
            <w:tcW w:w="700" w:type="dxa"/>
            <w:tcMar>
              <w:top w:w="0" w:type="dxa"/>
              <w:bottom w:w="0" w:type="dxa"/>
            </w:tcMar>
            <w:vAlign w:val="center"/>
          </w:tcPr>
          <w:p w14:paraId="243EE6BF" w14:textId="77777777" w:rsidR="006E7117" w:rsidRDefault="00000000">
            <w:pPr>
              <w:keepNext/>
              <w:keepLines/>
              <w:spacing w:after="0" w:line="240" w:lineRule="auto"/>
            </w:pPr>
            <w:r>
              <w:rPr>
                <w:sz w:val="18"/>
              </w:rPr>
              <w:t>11P</w:t>
            </w:r>
          </w:p>
        </w:tc>
        <w:tc>
          <w:tcPr>
            <w:tcW w:w="1860" w:type="dxa"/>
            <w:tcMar>
              <w:top w:w="0" w:type="dxa"/>
              <w:bottom w:w="0" w:type="dxa"/>
            </w:tcMar>
            <w:vAlign w:val="center"/>
          </w:tcPr>
          <w:p w14:paraId="1C26E6DC" w14:textId="77777777" w:rsidR="006E7117" w:rsidRDefault="00000000">
            <w:pPr>
              <w:keepNext/>
              <w:keepLines/>
              <w:spacing w:after="0" w:line="240" w:lineRule="auto"/>
              <w:jc w:val="right"/>
            </w:pPr>
            <w:r>
              <w:rPr>
                <w:sz w:val="18"/>
              </w:rPr>
              <w:t>30.291,05</w:t>
            </w:r>
          </w:p>
        </w:tc>
        <w:tc>
          <w:tcPr>
            <w:tcW w:w="1860" w:type="dxa"/>
            <w:tcMar>
              <w:top w:w="0" w:type="dxa"/>
              <w:bottom w:w="0" w:type="dxa"/>
            </w:tcMar>
            <w:vAlign w:val="center"/>
          </w:tcPr>
          <w:p w14:paraId="1B73459D" w14:textId="77777777" w:rsidR="006E7117" w:rsidRDefault="00000000">
            <w:pPr>
              <w:keepNext/>
              <w:keepLines/>
              <w:spacing w:after="0" w:line="240" w:lineRule="auto"/>
              <w:jc w:val="right"/>
            </w:pPr>
            <w:r>
              <w:rPr>
                <w:sz w:val="18"/>
              </w:rPr>
              <w:t>247.355,64</w:t>
            </w:r>
          </w:p>
        </w:tc>
        <w:tc>
          <w:tcPr>
            <w:tcW w:w="700" w:type="dxa"/>
            <w:tcMar>
              <w:top w:w="0" w:type="dxa"/>
              <w:bottom w:w="0" w:type="dxa"/>
            </w:tcMar>
            <w:vAlign w:val="center"/>
          </w:tcPr>
          <w:p w14:paraId="30425AA6" w14:textId="77777777" w:rsidR="006E7117" w:rsidRDefault="00000000">
            <w:pPr>
              <w:keepNext/>
              <w:keepLines/>
              <w:spacing w:after="0" w:line="240" w:lineRule="auto"/>
              <w:jc w:val="right"/>
            </w:pPr>
            <w:r>
              <w:rPr>
                <w:sz w:val="18"/>
              </w:rPr>
              <w:t>816,6</w:t>
            </w:r>
          </w:p>
        </w:tc>
      </w:tr>
    </w:tbl>
    <w:p w14:paraId="14EE1BA5" w14:textId="77777777" w:rsidR="006E7117" w:rsidRDefault="006E7117">
      <w:pPr>
        <w:spacing w:after="0"/>
      </w:pPr>
    </w:p>
    <w:p w14:paraId="0DA75632" w14:textId="77777777" w:rsidR="006E7117" w:rsidRDefault="00000000">
      <w:pPr>
        <w:spacing w:line="240" w:lineRule="auto"/>
        <w:jc w:val="both"/>
      </w:pPr>
      <w:r>
        <w:t>Navedeno stanje novčanih sredstava uključuje avans uplaćen krajem 2024. godine za energetsku obnovu Starog grada Varaždina u iznosu od 187.135,47 eura.</w:t>
      </w:r>
    </w:p>
    <w:p w14:paraId="67A27A0E" w14:textId="77777777" w:rsidR="006E7117" w:rsidRDefault="006E7117"/>
    <w:p w14:paraId="5F314646" w14:textId="77777777" w:rsidR="006E7117"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6E7117" w14:paraId="0916476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061C772"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22D15FD"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6B15FE1"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DB82236" w14:textId="77777777" w:rsidR="006E711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C056BE6" w14:textId="77777777" w:rsidR="006E711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709412E" w14:textId="77777777" w:rsidR="006E7117" w:rsidRDefault="00000000">
            <w:pPr>
              <w:keepNext/>
              <w:keepLines/>
              <w:spacing w:after="0" w:line="240" w:lineRule="auto"/>
              <w:jc w:val="center"/>
            </w:pPr>
            <w:r>
              <w:rPr>
                <w:b/>
                <w:sz w:val="18"/>
              </w:rPr>
              <w:t>Indeks (%)</w:t>
            </w:r>
          </w:p>
        </w:tc>
      </w:tr>
      <w:tr w:rsidR="006E7117" w14:paraId="7B0D7EA7" w14:textId="77777777">
        <w:tblPrEx>
          <w:tblCellMar>
            <w:top w:w="0" w:type="dxa"/>
            <w:bottom w:w="0" w:type="dxa"/>
          </w:tblCellMar>
        </w:tblPrEx>
        <w:trPr>
          <w:cantSplit/>
          <w:trHeight w:val="560"/>
        </w:trPr>
        <w:tc>
          <w:tcPr>
            <w:tcW w:w="700" w:type="dxa"/>
            <w:tcMar>
              <w:top w:w="0" w:type="dxa"/>
              <w:bottom w:w="0" w:type="dxa"/>
            </w:tcMar>
            <w:vAlign w:val="center"/>
          </w:tcPr>
          <w:p w14:paraId="36BDC4AF" w14:textId="77777777" w:rsidR="006E7117" w:rsidRDefault="00000000">
            <w:pPr>
              <w:keepNext/>
              <w:keepLines/>
              <w:spacing w:after="0" w:line="240" w:lineRule="auto"/>
            </w:pPr>
            <w:r>
              <w:rPr>
                <w:sz w:val="18"/>
              </w:rPr>
              <w:t>32371</w:t>
            </w:r>
          </w:p>
        </w:tc>
        <w:tc>
          <w:tcPr>
            <w:tcW w:w="3180" w:type="dxa"/>
            <w:tcMar>
              <w:top w:w="0" w:type="dxa"/>
              <w:bottom w:w="0" w:type="dxa"/>
            </w:tcMar>
            <w:vAlign w:val="center"/>
          </w:tcPr>
          <w:p w14:paraId="292F42FF" w14:textId="77777777" w:rsidR="006E7117" w:rsidRDefault="00000000">
            <w:pPr>
              <w:keepNext/>
              <w:keepLines/>
              <w:spacing w:after="0" w:line="240" w:lineRule="auto"/>
            </w:pPr>
            <w:r>
              <w:rPr>
                <w:sz w:val="18"/>
              </w:rPr>
              <w:t>Autorski honorari</w:t>
            </w:r>
          </w:p>
        </w:tc>
        <w:tc>
          <w:tcPr>
            <w:tcW w:w="700" w:type="dxa"/>
            <w:tcMar>
              <w:top w:w="0" w:type="dxa"/>
              <w:bottom w:w="0" w:type="dxa"/>
            </w:tcMar>
            <w:vAlign w:val="center"/>
          </w:tcPr>
          <w:p w14:paraId="1529E6D0" w14:textId="77777777" w:rsidR="006E7117" w:rsidRDefault="00000000">
            <w:pPr>
              <w:keepNext/>
              <w:keepLines/>
              <w:spacing w:after="0" w:line="240" w:lineRule="auto"/>
            </w:pPr>
            <w:r>
              <w:rPr>
                <w:sz w:val="18"/>
              </w:rPr>
              <w:t>32371</w:t>
            </w:r>
          </w:p>
        </w:tc>
        <w:tc>
          <w:tcPr>
            <w:tcW w:w="1860" w:type="dxa"/>
            <w:tcMar>
              <w:top w:w="0" w:type="dxa"/>
              <w:bottom w:w="0" w:type="dxa"/>
            </w:tcMar>
            <w:vAlign w:val="center"/>
          </w:tcPr>
          <w:p w14:paraId="0388798E" w14:textId="77777777" w:rsidR="006E7117" w:rsidRDefault="00000000">
            <w:pPr>
              <w:keepNext/>
              <w:keepLines/>
              <w:spacing w:after="0" w:line="240" w:lineRule="auto"/>
              <w:jc w:val="right"/>
            </w:pPr>
            <w:r>
              <w:rPr>
                <w:sz w:val="18"/>
              </w:rPr>
              <w:t>6.781,82</w:t>
            </w:r>
          </w:p>
        </w:tc>
        <w:tc>
          <w:tcPr>
            <w:tcW w:w="1860" w:type="dxa"/>
            <w:tcMar>
              <w:top w:w="0" w:type="dxa"/>
              <w:bottom w:w="0" w:type="dxa"/>
            </w:tcMar>
            <w:vAlign w:val="center"/>
          </w:tcPr>
          <w:p w14:paraId="25ABF4B6" w14:textId="77777777" w:rsidR="006E7117" w:rsidRDefault="00000000">
            <w:pPr>
              <w:keepNext/>
              <w:keepLines/>
              <w:spacing w:after="0" w:line="240" w:lineRule="auto"/>
              <w:jc w:val="right"/>
            </w:pPr>
            <w:r>
              <w:rPr>
                <w:sz w:val="18"/>
              </w:rPr>
              <w:t>12.782,63</w:t>
            </w:r>
          </w:p>
        </w:tc>
        <w:tc>
          <w:tcPr>
            <w:tcW w:w="700" w:type="dxa"/>
            <w:tcMar>
              <w:top w:w="0" w:type="dxa"/>
              <w:bottom w:w="0" w:type="dxa"/>
            </w:tcMar>
            <w:vAlign w:val="center"/>
          </w:tcPr>
          <w:p w14:paraId="50D79F77" w14:textId="77777777" w:rsidR="006E7117" w:rsidRDefault="00000000">
            <w:pPr>
              <w:keepNext/>
              <w:keepLines/>
              <w:spacing w:after="0" w:line="240" w:lineRule="auto"/>
              <w:jc w:val="right"/>
            </w:pPr>
            <w:r>
              <w:rPr>
                <w:sz w:val="18"/>
              </w:rPr>
              <w:t>188,5</w:t>
            </w:r>
          </w:p>
        </w:tc>
      </w:tr>
    </w:tbl>
    <w:p w14:paraId="4FC0D87C" w14:textId="77777777" w:rsidR="006E7117" w:rsidRDefault="006E7117">
      <w:pPr>
        <w:spacing w:after="0"/>
      </w:pPr>
    </w:p>
    <w:p w14:paraId="343DE4CA" w14:textId="77777777" w:rsidR="006E7117" w:rsidRDefault="00000000">
      <w:pPr>
        <w:spacing w:line="240" w:lineRule="auto"/>
        <w:jc w:val="both"/>
      </w:pPr>
      <w:r>
        <w:lastRenderedPageBreak/>
        <w:t>Rashodi se odnose na vanjske suradnike angažirane za postavljanje i realizaciju izložbi i ostalih manifestacija koje je GMV pripremio za posjetitelje tijekom prvih šest mjeseci 2025. godine</w:t>
      </w:r>
    </w:p>
    <w:p w14:paraId="457EE7C2" w14:textId="77777777" w:rsidR="006E7117" w:rsidRDefault="006E7117"/>
    <w:p w14:paraId="308DD72B" w14:textId="77777777" w:rsidR="006E7117" w:rsidRDefault="00000000">
      <w:pPr>
        <w:keepNext/>
        <w:spacing w:line="240" w:lineRule="auto"/>
        <w:jc w:val="center"/>
      </w:pPr>
      <w:r>
        <w:rPr>
          <w:b/>
          <w:sz w:val="28"/>
        </w:rPr>
        <w:t>Izvještaj o obvezama</w:t>
      </w:r>
    </w:p>
    <w:p w14:paraId="4C84505B" w14:textId="77777777" w:rsidR="006E7117"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6E7117" w14:paraId="26657C3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B0B94B2" w14:textId="77777777" w:rsidR="006E711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65417C7" w14:textId="77777777" w:rsidR="006E711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3210016" w14:textId="77777777" w:rsidR="006E711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40D412E" w14:textId="77777777" w:rsidR="006E7117"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1B8A5ED9" w14:textId="77777777" w:rsidR="006E7117" w:rsidRDefault="00000000">
            <w:pPr>
              <w:keepNext/>
              <w:keepLines/>
              <w:spacing w:after="0" w:line="240" w:lineRule="auto"/>
              <w:jc w:val="center"/>
            </w:pPr>
            <w:r>
              <w:rPr>
                <w:b/>
                <w:sz w:val="18"/>
              </w:rPr>
              <w:t>Indeks (%)</w:t>
            </w:r>
          </w:p>
        </w:tc>
      </w:tr>
      <w:tr w:rsidR="006E7117" w14:paraId="10BBEBAB" w14:textId="77777777">
        <w:tblPrEx>
          <w:tblCellMar>
            <w:top w:w="0" w:type="dxa"/>
            <w:bottom w:w="0" w:type="dxa"/>
          </w:tblCellMar>
        </w:tblPrEx>
        <w:trPr>
          <w:cantSplit/>
          <w:trHeight w:val="560"/>
        </w:trPr>
        <w:tc>
          <w:tcPr>
            <w:tcW w:w="700" w:type="dxa"/>
            <w:tcMar>
              <w:top w:w="0" w:type="dxa"/>
              <w:bottom w:w="0" w:type="dxa"/>
            </w:tcMar>
            <w:vAlign w:val="center"/>
          </w:tcPr>
          <w:p w14:paraId="1E5ABAC6" w14:textId="77777777" w:rsidR="006E7117" w:rsidRDefault="006E7117">
            <w:pPr>
              <w:keepNext/>
              <w:keepLines/>
              <w:spacing w:after="0" w:line="240" w:lineRule="auto"/>
            </w:pPr>
          </w:p>
        </w:tc>
        <w:tc>
          <w:tcPr>
            <w:tcW w:w="3180" w:type="dxa"/>
            <w:tcMar>
              <w:top w:w="0" w:type="dxa"/>
              <w:bottom w:w="0" w:type="dxa"/>
            </w:tcMar>
            <w:vAlign w:val="center"/>
          </w:tcPr>
          <w:p w14:paraId="19BBF647" w14:textId="77777777" w:rsidR="006E7117"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5AE3CC0C" w14:textId="77777777" w:rsidR="006E7117" w:rsidRDefault="00000000">
            <w:pPr>
              <w:keepNext/>
              <w:keepLines/>
              <w:spacing w:after="0" w:line="240" w:lineRule="auto"/>
            </w:pPr>
            <w:r>
              <w:rPr>
                <w:sz w:val="18"/>
              </w:rPr>
              <w:t>V007</w:t>
            </w:r>
          </w:p>
        </w:tc>
        <w:tc>
          <w:tcPr>
            <w:tcW w:w="1860" w:type="dxa"/>
            <w:tcMar>
              <w:top w:w="0" w:type="dxa"/>
              <w:bottom w:w="0" w:type="dxa"/>
            </w:tcMar>
            <w:vAlign w:val="center"/>
          </w:tcPr>
          <w:p w14:paraId="7017C26C" w14:textId="77777777" w:rsidR="006E7117" w:rsidRDefault="00000000">
            <w:pPr>
              <w:keepNext/>
              <w:keepLines/>
              <w:spacing w:after="0" w:line="240" w:lineRule="auto"/>
              <w:jc w:val="right"/>
            </w:pPr>
            <w:r>
              <w:rPr>
                <w:sz w:val="18"/>
              </w:rPr>
              <w:t>2.343,23</w:t>
            </w:r>
          </w:p>
        </w:tc>
        <w:tc>
          <w:tcPr>
            <w:tcW w:w="700" w:type="dxa"/>
            <w:tcMar>
              <w:top w:w="0" w:type="dxa"/>
              <w:bottom w:w="0" w:type="dxa"/>
            </w:tcMar>
            <w:vAlign w:val="center"/>
          </w:tcPr>
          <w:p w14:paraId="5A8A8FCF" w14:textId="77777777" w:rsidR="006E7117" w:rsidRDefault="00000000">
            <w:pPr>
              <w:keepNext/>
              <w:keepLines/>
              <w:spacing w:after="0" w:line="240" w:lineRule="auto"/>
              <w:jc w:val="right"/>
            </w:pPr>
            <w:r>
              <w:rPr>
                <w:sz w:val="18"/>
              </w:rPr>
              <w:t>-</w:t>
            </w:r>
          </w:p>
        </w:tc>
      </w:tr>
    </w:tbl>
    <w:p w14:paraId="144CAF14" w14:textId="77777777" w:rsidR="006E7117" w:rsidRDefault="006E7117">
      <w:pPr>
        <w:spacing w:after="0"/>
      </w:pPr>
    </w:p>
    <w:p w14:paraId="5CE54F55" w14:textId="77777777" w:rsidR="006E7117" w:rsidRDefault="00000000">
      <w:pPr>
        <w:spacing w:line="240" w:lineRule="auto"/>
        <w:jc w:val="both"/>
      </w:pPr>
      <w:r>
        <w:t>Dospjele obveze na dan 30. 6. 2025. iznose 2.343,23 eura. Navedene dospjele obveze podmirene su do  9. 7. 2025. godine. Razlog koji je doveo do stanja dospjelih obveza na kraju izvještajnog razdoblja je tehničke naravi (problemi s internet bankarstvom i kašnjenje dostave e-računa).</w:t>
      </w:r>
    </w:p>
    <w:p w14:paraId="64214B24" w14:textId="77777777" w:rsidR="006E7117" w:rsidRDefault="006E7117"/>
    <w:sectPr w:rsidR="006E7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17"/>
    <w:rsid w:val="006B1D80"/>
    <w:rsid w:val="006E7117"/>
    <w:rsid w:val="00EE2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81EE"/>
  <w15:docId w15:val="{A6F3A34F-2BA4-4348-80E5-C1989450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Vesna Stipetich</cp:lastModifiedBy>
  <cp:revision>2</cp:revision>
  <dcterms:created xsi:type="dcterms:W3CDTF">2025-07-10T09:14:00Z</dcterms:created>
  <dcterms:modified xsi:type="dcterms:W3CDTF">2025-07-10T09:14:00Z</dcterms:modified>
</cp:coreProperties>
</file>